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3CE702">
      <w:pPr>
        <w:widowControl/>
        <w:ind w:firstLine="1807" w:firstLineChars="500"/>
        <w:jc w:val="left"/>
        <w:rPr>
          <w:rFonts w:hint="eastAsia" w:ascii="宋体" w:hAnsi="宋体" w:eastAsia="宋体" w:cs="宋体"/>
          <w:b/>
          <w:bCs/>
          <w:color w:val="000000"/>
          <w:kern w:val="0"/>
          <w:sz w:val="36"/>
          <w:szCs w:val="36"/>
        </w:rPr>
      </w:pPr>
    </w:p>
    <w:p w14:paraId="3976EF66">
      <w:pPr>
        <w:widowControl/>
        <w:jc w:val="left"/>
        <w:rPr>
          <w:rFonts w:hint="eastAsia" w:ascii="宋体" w:hAnsi="宋体" w:eastAsia="宋体" w:cs="宋体"/>
          <w:b/>
          <w:bCs/>
          <w:color w:val="000000"/>
          <w:kern w:val="0"/>
          <w:sz w:val="58"/>
          <w:szCs w:val="58"/>
        </w:rPr>
      </w:pPr>
    </w:p>
    <w:p w14:paraId="22CAF453">
      <w:pPr>
        <w:widowControl/>
        <w:jc w:val="left"/>
        <w:rPr>
          <w:rFonts w:hint="eastAsia" w:ascii="宋体" w:hAnsi="宋体" w:eastAsia="宋体" w:cs="宋体"/>
          <w:b/>
          <w:bCs/>
          <w:color w:val="000000"/>
          <w:kern w:val="0"/>
          <w:sz w:val="58"/>
          <w:szCs w:val="58"/>
        </w:rPr>
      </w:pPr>
    </w:p>
    <w:p w14:paraId="5F0BC694">
      <w:pPr>
        <w:widowControl/>
        <w:jc w:val="center"/>
        <w:rPr>
          <w:rFonts w:hint="eastAsia" w:ascii="宋体" w:hAnsi="宋体" w:eastAsia="宋体" w:cs="宋体"/>
          <w:kern w:val="0"/>
          <w:sz w:val="58"/>
          <w:szCs w:val="58"/>
        </w:rPr>
      </w:pPr>
      <w:r>
        <w:rPr>
          <w:rFonts w:hint="eastAsia" w:ascii="宋体" w:hAnsi="宋体" w:eastAsia="宋体" w:cs="宋体"/>
          <w:b/>
          <w:bCs/>
          <w:color w:val="000000"/>
          <w:kern w:val="0"/>
          <w:sz w:val="58"/>
          <w:szCs w:val="58"/>
        </w:rPr>
        <w:t>广东隆达铝业有限公司</w:t>
      </w:r>
    </w:p>
    <w:p w14:paraId="61CDFEF8">
      <w:pPr>
        <w:widowControl/>
        <w:ind w:firstLine="2038" w:firstLineChars="350"/>
        <w:jc w:val="left"/>
        <w:rPr>
          <w:rFonts w:hint="eastAsia" w:ascii="宋体" w:hAnsi="宋体" w:eastAsia="宋体" w:cs="宋体"/>
          <w:b/>
          <w:color w:val="000000"/>
          <w:kern w:val="0"/>
          <w:sz w:val="58"/>
          <w:szCs w:val="58"/>
        </w:rPr>
      </w:pPr>
    </w:p>
    <w:p w14:paraId="36BB5CD1">
      <w:pPr>
        <w:widowControl/>
        <w:jc w:val="left"/>
        <w:rPr>
          <w:rFonts w:hint="eastAsia" w:ascii="宋体" w:hAnsi="宋体" w:eastAsia="宋体" w:cs="宋体"/>
          <w:b/>
          <w:color w:val="000000"/>
          <w:kern w:val="0"/>
          <w:sz w:val="58"/>
          <w:szCs w:val="58"/>
        </w:rPr>
      </w:pPr>
    </w:p>
    <w:p w14:paraId="4CE486E8">
      <w:pPr>
        <w:widowControl/>
        <w:ind w:firstLine="1747" w:firstLineChars="300"/>
        <w:jc w:val="left"/>
        <w:rPr>
          <w:rFonts w:hint="eastAsia" w:ascii="宋体" w:hAnsi="宋体" w:eastAsia="宋体" w:cs="宋体"/>
          <w:b/>
          <w:kern w:val="0"/>
          <w:sz w:val="58"/>
          <w:szCs w:val="58"/>
        </w:rPr>
      </w:pPr>
      <w:r>
        <w:rPr>
          <w:rFonts w:hint="eastAsia" w:ascii="宋体" w:hAnsi="宋体" w:eastAsia="宋体" w:cs="宋体"/>
          <w:b/>
          <w:color w:val="000000"/>
          <w:kern w:val="0"/>
          <w:sz w:val="58"/>
          <w:szCs w:val="58"/>
        </w:rPr>
        <w:t>生命周期评估报告</w:t>
      </w:r>
    </w:p>
    <w:p w14:paraId="761848F8">
      <w:pPr>
        <w:widowControl/>
        <w:spacing w:line="500" w:lineRule="exact"/>
        <w:ind w:firstLine="560" w:firstLineChars="200"/>
        <w:jc w:val="left"/>
        <w:rPr>
          <w:rFonts w:hint="eastAsia" w:asciiTheme="minorEastAsia" w:hAnsiTheme="minorEastAsia"/>
          <w:color w:val="000000"/>
          <w:sz w:val="28"/>
          <w:szCs w:val="28"/>
        </w:rPr>
      </w:pPr>
    </w:p>
    <w:p w14:paraId="1CB4585E">
      <w:pPr>
        <w:widowControl/>
        <w:spacing w:line="500" w:lineRule="exact"/>
        <w:ind w:firstLine="420" w:firstLineChars="200"/>
        <w:jc w:val="left"/>
        <w:rPr>
          <w:rFonts w:hint="eastAsia" w:asciiTheme="minorEastAsia" w:hAnsiTheme="minorEastAsia"/>
          <w:color w:val="000000"/>
          <w:sz w:val="28"/>
          <w:szCs w:val="28"/>
        </w:rPr>
      </w:pPr>
      <w:r>
        <w:drawing>
          <wp:anchor distT="0" distB="0" distL="114300" distR="114300" simplePos="0" relativeHeight="251663360" behindDoc="0" locked="0" layoutInCell="0" allowOverlap="1">
            <wp:simplePos x="0" y="0"/>
            <wp:positionH relativeFrom="margin">
              <wp:posOffset>-615315</wp:posOffset>
            </wp:positionH>
            <wp:positionV relativeFrom="paragraph">
              <wp:posOffset>-4558665</wp:posOffset>
            </wp:positionV>
            <wp:extent cx="970915" cy="247015"/>
            <wp:effectExtent l="0" t="0" r="4445" b="12065"/>
            <wp:wrapSquare wrapText="bothSides"/>
            <wp:docPr id="2" name="图片 257407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57407071"/>
                    <pic:cNvPicPr>
                      <a:picLocks noChangeAspect="1"/>
                    </pic:cNvPicPr>
                  </pic:nvPicPr>
                  <pic:blipFill>
                    <a:blip r:embed="rId10"/>
                    <a:stretch>
                      <a:fillRect/>
                    </a:stretch>
                  </pic:blipFill>
                  <pic:spPr>
                    <a:xfrm>
                      <a:off x="0" y="0"/>
                      <a:ext cx="970915" cy="247015"/>
                    </a:xfrm>
                    <a:prstGeom prst="rect">
                      <a:avLst/>
                    </a:prstGeom>
                    <a:noFill/>
                    <a:ln>
                      <a:noFill/>
                    </a:ln>
                  </pic:spPr>
                </pic:pic>
              </a:graphicData>
            </a:graphic>
          </wp:anchor>
        </w:drawing>
      </w:r>
    </w:p>
    <w:p w14:paraId="4DAED4CE">
      <w:pPr>
        <w:widowControl/>
        <w:spacing w:line="500" w:lineRule="exact"/>
        <w:ind w:firstLine="560" w:firstLineChars="200"/>
        <w:jc w:val="left"/>
        <w:rPr>
          <w:rFonts w:hint="eastAsia" w:asciiTheme="minorEastAsia" w:hAnsiTheme="minorEastAsia"/>
          <w:color w:val="000000"/>
          <w:sz w:val="28"/>
          <w:szCs w:val="28"/>
        </w:rPr>
      </w:pPr>
    </w:p>
    <w:p w14:paraId="4726C7B0">
      <w:pPr>
        <w:widowControl/>
        <w:spacing w:line="500" w:lineRule="exact"/>
        <w:ind w:firstLine="2530" w:firstLineChars="700"/>
        <w:jc w:val="left"/>
        <w:rPr>
          <w:b/>
          <w:color w:val="000000"/>
          <w:sz w:val="36"/>
          <w:szCs w:val="36"/>
        </w:rPr>
      </w:pPr>
    </w:p>
    <w:p w14:paraId="35C79782">
      <w:pPr>
        <w:widowControl/>
        <w:spacing w:line="500" w:lineRule="exact"/>
        <w:ind w:firstLine="2530" w:firstLineChars="700"/>
        <w:jc w:val="left"/>
        <w:rPr>
          <w:b/>
          <w:color w:val="000000"/>
          <w:sz w:val="36"/>
          <w:szCs w:val="36"/>
        </w:rPr>
      </w:pPr>
    </w:p>
    <w:p w14:paraId="450C37A2">
      <w:pPr>
        <w:widowControl/>
        <w:spacing w:line="500" w:lineRule="exact"/>
        <w:ind w:firstLine="2530" w:firstLineChars="700"/>
        <w:jc w:val="left"/>
        <w:rPr>
          <w:b/>
          <w:color w:val="000000"/>
          <w:sz w:val="36"/>
          <w:szCs w:val="36"/>
        </w:rPr>
      </w:pPr>
    </w:p>
    <w:p w14:paraId="00BF20CA">
      <w:pPr>
        <w:widowControl/>
        <w:spacing w:line="500" w:lineRule="exact"/>
        <w:ind w:firstLine="2530" w:firstLineChars="700"/>
        <w:jc w:val="left"/>
        <w:rPr>
          <w:b/>
          <w:color w:val="000000"/>
          <w:sz w:val="36"/>
          <w:szCs w:val="36"/>
        </w:rPr>
      </w:pPr>
    </w:p>
    <w:p w14:paraId="3F599E2E">
      <w:pPr>
        <w:widowControl/>
        <w:spacing w:line="500" w:lineRule="exact"/>
        <w:ind w:firstLine="2530" w:firstLineChars="700"/>
        <w:jc w:val="left"/>
        <w:rPr>
          <w:b/>
          <w:color w:val="000000"/>
          <w:sz w:val="36"/>
          <w:szCs w:val="36"/>
        </w:rPr>
      </w:pPr>
    </w:p>
    <w:p w14:paraId="6C161869">
      <w:pPr>
        <w:widowControl/>
        <w:spacing w:line="500" w:lineRule="exact"/>
        <w:ind w:firstLine="2530" w:firstLineChars="700"/>
        <w:jc w:val="left"/>
        <w:rPr>
          <w:b/>
          <w:color w:val="000000"/>
          <w:sz w:val="36"/>
          <w:szCs w:val="36"/>
        </w:rPr>
      </w:pPr>
    </w:p>
    <w:p w14:paraId="26B36750">
      <w:pPr>
        <w:widowControl/>
        <w:spacing w:line="500" w:lineRule="exact"/>
        <w:ind w:firstLine="2530" w:firstLineChars="700"/>
        <w:jc w:val="left"/>
        <w:rPr>
          <w:b/>
          <w:color w:val="000000"/>
          <w:sz w:val="36"/>
          <w:szCs w:val="36"/>
        </w:rPr>
      </w:pPr>
    </w:p>
    <w:p w14:paraId="4B8F2295">
      <w:pPr>
        <w:widowControl/>
        <w:spacing w:line="500" w:lineRule="exact"/>
        <w:ind w:firstLine="2530" w:firstLineChars="700"/>
        <w:jc w:val="left"/>
        <w:rPr>
          <w:b/>
          <w:color w:val="000000"/>
          <w:sz w:val="36"/>
          <w:szCs w:val="36"/>
        </w:rPr>
      </w:pPr>
    </w:p>
    <w:p w14:paraId="4D2E82A6">
      <w:pPr>
        <w:widowControl/>
        <w:spacing w:line="500" w:lineRule="exact"/>
        <w:ind w:firstLine="2530" w:firstLineChars="700"/>
        <w:jc w:val="left"/>
        <w:rPr>
          <w:rFonts w:hint="eastAsia" w:asciiTheme="minorEastAsia" w:hAnsiTheme="minorEastAsia"/>
          <w:b/>
          <w:color w:val="000000"/>
          <w:sz w:val="28"/>
          <w:szCs w:val="28"/>
        </w:rPr>
      </w:pPr>
      <w:r>
        <w:rPr>
          <w:rFonts w:hint="eastAsia"/>
          <w:b/>
          <w:color w:val="000000"/>
          <w:sz w:val="36"/>
          <w:szCs w:val="36"/>
        </w:rPr>
        <w:t>二零二四年八月六日</w:t>
      </w:r>
    </w:p>
    <w:p w14:paraId="0C56EFF4">
      <w:pPr>
        <w:widowControl/>
        <w:spacing w:line="500" w:lineRule="exact"/>
        <w:ind w:firstLine="562" w:firstLineChars="200"/>
        <w:jc w:val="left"/>
        <w:rPr>
          <w:rFonts w:hint="eastAsia" w:asciiTheme="minorEastAsia" w:hAnsiTheme="minorEastAsia"/>
          <w:b/>
          <w:color w:val="000000"/>
          <w:sz w:val="28"/>
          <w:szCs w:val="28"/>
        </w:rPr>
      </w:pPr>
    </w:p>
    <w:p w14:paraId="7E40085A">
      <w:pPr>
        <w:widowControl/>
        <w:spacing w:line="500" w:lineRule="exact"/>
        <w:ind w:firstLine="560" w:firstLineChars="200"/>
        <w:jc w:val="left"/>
        <w:rPr>
          <w:rFonts w:hint="eastAsia" w:asciiTheme="minorEastAsia" w:hAnsiTheme="minorEastAsia"/>
          <w:color w:val="000000"/>
          <w:sz w:val="28"/>
          <w:szCs w:val="28"/>
        </w:rPr>
      </w:pPr>
    </w:p>
    <w:p w14:paraId="798D650B">
      <w:pPr>
        <w:widowControl/>
        <w:spacing w:line="500" w:lineRule="exact"/>
        <w:ind w:firstLine="560" w:firstLineChars="200"/>
        <w:jc w:val="left"/>
        <w:rPr>
          <w:rFonts w:hint="eastAsia" w:asciiTheme="minorEastAsia" w:hAnsiTheme="minorEastAsia"/>
          <w:color w:val="000000"/>
          <w:sz w:val="28"/>
          <w:szCs w:val="28"/>
        </w:rPr>
      </w:pPr>
    </w:p>
    <w:p w14:paraId="406A5D0B">
      <w:pPr>
        <w:widowControl/>
        <w:spacing w:line="460" w:lineRule="exact"/>
        <w:jc w:val="left"/>
        <w:rPr>
          <w:rFonts w:hint="eastAsia" w:ascii="宋体" w:hAnsi="宋体" w:eastAsia="宋体" w:cs="宋体"/>
          <w:kern w:val="0"/>
          <w:sz w:val="28"/>
          <w:szCs w:val="28"/>
        </w:rPr>
      </w:pPr>
      <w:r>
        <w:rPr>
          <w:rFonts w:hint="eastAsia" w:ascii="宋体" w:hAnsi="宋体" w:eastAsia="宋体" w:cs="宋体"/>
          <w:b/>
          <w:bCs/>
          <w:color w:val="000000"/>
          <w:kern w:val="0"/>
          <w:sz w:val="28"/>
          <w:szCs w:val="28"/>
        </w:rPr>
        <w:t xml:space="preserve">一、前言 </w:t>
      </w:r>
    </w:p>
    <w:p w14:paraId="4B804730">
      <w:pPr>
        <w:widowControl/>
        <w:spacing w:line="460" w:lineRule="exact"/>
        <w:ind w:firstLine="360" w:firstLineChars="150"/>
        <w:jc w:val="left"/>
        <w:rPr>
          <w:rFonts w:hint="eastAsia" w:cs="宋体" w:asciiTheme="minorEastAsia" w:hAnsiTheme="minorEastAsia"/>
          <w:kern w:val="0"/>
          <w:sz w:val="24"/>
          <w:szCs w:val="24"/>
        </w:rPr>
      </w:pPr>
      <w:r>
        <w:rPr>
          <w:rFonts w:hint="eastAsia" w:cs="宋体" w:asciiTheme="minorEastAsia" w:hAnsiTheme="minorEastAsia"/>
          <w:color w:val="000000"/>
          <w:kern w:val="0"/>
          <w:sz w:val="24"/>
          <w:szCs w:val="24"/>
        </w:rPr>
        <w:t>生命周期评价</w:t>
      </w:r>
      <w:r>
        <w:rPr>
          <w:rFonts w:cs="宋体" w:asciiTheme="minorEastAsia" w:hAnsiTheme="minorEastAsia"/>
          <w:color w:val="000000"/>
          <w:kern w:val="0"/>
          <w:sz w:val="24"/>
          <w:szCs w:val="24"/>
        </w:rPr>
        <w:t>(LCA)</w:t>
      </w:r>
      <w:r>
        <w:rPr>
          <w:rFonts w:hint="eastAsia" w:cs="宋体" w:asciiTheme="minorEastAsia" w:hAnsiTheme="minorEastAsia"/>
          <w:color w:val="000000"/>
          <w:kern w:val="0"/>
          <w:sz w:val="24"/>
          <w:szCs w:val="24"/>
        </w:rPr>
        <w:t>是针对一个产品系统</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包括产品、工艺和服务过程</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 xml:space="preserve">所进行的，通过对 评价对象在其全生命周期内的能源消耗、原材料投入、污染物排放进行识别和量化分析，以 确定和评估该产品系统对环境安全所存在的潜在影响。生命周期评价的重要内容是通过识别 产生主要环境负荷的关键影响因子，对其进行减量化控制，以寻求减少环境污染的方法。材料或产品的生命周期包括从原材料获取到最终处置，或是更理想的以原来或其它形式循环再生的整个过程。 </w:t>
      </w:r>
    </w:p>
    <w:p w14:paraId="1337CE43">
      <w:pPr>
        <w:widowControl/>
        <w:spacing w:line="460" w:lineRule="exact"/>
        <w:jc w:val="left"/>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 xml:space="preserve">二、研究内容 </w:t>
      </w:r>
    </w:p>
    <w:p w14:paraId="5EF0A14D">
      <w:pPr>
        <w:widowControl/>
        <w:spacing w:line="460" w:lineRule="exact"/>
        <w:ind w:firstLine="360" w:firstLineChars="15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1.研究对象：AC4C铝合金产品生产的整个产业链生命周期评价，可分为下述 4个部分：</w:t>
      </w:r>
    </w:p>
    <w:p w14:paraId="5068F351">
      <w:pPr>
        <w:widowControl/>
        <w:spacing w:line="400" w:lineRule="exact"/>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（1）确定 LCA 的目标、生命周期的范围和系统边界； </w:t>
      </w:r>
    </w:p>
    <w:p w14:paraId="654B5D4A">
      <w:pPr>
        <w:widowControl/>
        <w:spacing w:line="400" w:lineRule="exact"/>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（2）进行清单分析，即确定整个流程的输入与输出。输入包括原材料、 辅助材料、能源等；输出包括向自然界排放的废水、废气、危废等； </w:t>
      </w:r>
    </w:p>
    <w:p w14:paraId="1746CB2F">
      <w:pPr>
        <w:widowControl/>
        <w:spacing w:line="400" w:lineRule="exact"/>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（3）进行影响评价，即对清单数据进行定量评价； </w:t>
      </w:r>
    </w:p>
    <w:p w14:paraId="11ED81C0">
      <w:pPr>
        <w:widowControl/>
        <w:spacing w:line="400" w:lineRule="exact"/>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（4）结果解释，即对影响评价的结果进行说明。</w:t>
      </w:r>
    </w:p>
    <w:p w14:paraId="5F9754A7">
      <w:pPr>
        <w:widowControl/>
        <w:spacing w:line="400" w:lineRule="exact"/>
        <w:jc w:val="left"/>
        <w:rPr>
          <w:rFonts w:hint="eastAsia" w:asciiTheme="minorEastAsia" w:hAnsiTheme="minorEastAsia"/>
          <w:b/>
          <w:color w:val="000000"/>
          <w:sz w:val="28"/>
          <w:szCs w:val="28"/>
        </w:rPr>
      </w:pPr>
      <w:r>
        <w:rPr>
          <w:rFonts w:hint="eastAsia" w:asciiTheme="minorEastAsia" w:hAnsiTheme="minorEastAsia"/>
          <w:b/>
          <w:color w:val="000000"/>
          <w:sz w:val="28"/>
          <w:szCs w:val="28"/>
        </w:rPr>
        <w:t xml:space="preserve">三、研究方法 </w:t>
      </w:r>
    </w:p>
    <w:p w14:paraId="4B976375">
      <w:pPr>
        <w:widowControl/>
        <w:spacing w:line="400" w:lineRule="exact"/>
        <w:ind w:firstLine="360" w:firstLineChars="15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1.目标和系统边界界定 </w:t>
      </w:r>
    </w:p>
    <w:p w14:paraId="09CF62B6">
      <w:pPr>
        <w:widowControl/>
        <w:spacing w:line="400" w:lineRule="exact"/>
        <w:ind w:firstLine="240" w:firstLineChars="1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 xml:space="preserve">（1）产品系统功能单元: 本报告的研究对象为1吨AC4C铝合金产品的整个制程全生命周期。 </w:t>
      </w:r>
    </w:p>
    <w:p w14:paraId="740AA679">
      <w:pPr>
        <w:widowControl/>
        <w:spacing w:line="400" w:lineRule="exact"/>
        <w:ind w:firstLine="240" w:firstLineChars="1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（2）范围和系统边界：</w:t>
      </w:r>
      <w:r>
        <w:rPr>
          <w:rFonts w:cs="宋体" w:asciiTheme="minorEastAsia" w:hAnsiTheme="minorEastAsia"/>
          <w:color w:val="000000"/>
          <w:kern w:val="0"/>
          <w:sz w:val="24"/>
          <w:szCs w:val="24"/>
        </w:rPr>
        <w:t>本报告的系统边界为“摇篮到大门”（从资源开采到产品出厂），分为原料获取阶段和产品生产阶段。</w:t>
      </w:r>
      <w:r>
        <w:rPr>
          <w:rFonts w:hint="eastAsia" w:cs="宋体" w:asciiTheme="minorEastAsia" w:hAnsiTheme="minorEastAsia"/>
          <w:color w:val="000000"/>
          <w:kern w:val="0"/>
          <w:sz w:val="24"/>
          <w:szCs w:val="24"/>
        </w:rPr>
        <w:t>不纳入的生命周期阶段:下游过程 ，AC4C铝合金产品生产在社会经济系统中的生命周期研究范围划分为五个阶段：原料获取（铝锭、再生料、铝屑）、原料运输、产品生产、储存、装车。</w:t>
      </w:r>
    </w:p>
    <w:p w14:paraId="57A15F4D">
      <w:pPr>
        <w:widowControl/>
        <w:spacing w:line="500" w:lineRule="exact"/>
        <w:ind w:firstLine="210" w:firstLineChars="100"/>
        <w:jc w:val="left"/>
        <w:rPr>
          <w:rFonts w:hint="eastAsia" w:asciiTheme="minorEastAsia" w:hAnsiTheme="minorEastAsia"/>
          <w:color w:val="000000"/>
          <w:sz w:val="28"/>
          <w:szCs w:val="28"/>
        </w:rPr>
      </w:pPr>
      <w:r>
        <w:drawing>
          <wp:anchor distT="0" distB="0" distL="114300" distR="114300" simplePos="0" relativeHeight="251664384" behindDoc="0" locked="0" layoutInCell="1" allowOverlap="1">
            <wp:simplePos x="0" y="0"/>
            <wp:positionH relativeFrom="column">
              <wp:posOffset>879475</wp:posOffset>
            </wp:positionH>
            <wp:positionV relativeFrom="paragraph">
              <wp:posOffset>90805</wp:posOffset>
            </wp:positionV>
            <wp:extent cx="3122295" cy="2068195"/>
            <wp:effectExtent l="0" t="0" r="0" b="0"/>
            <wp:wrapSquare wrapText="bothSides"/>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1"/>
                    <a:srcRect l="382" t="959" r="664" b="1438"/>
                    <a:stretch>
                      <a:fillRect/>
                    </a:stretch>
                  </pic:blipFill>
                  <pic:spPr>
                    <a:xfrm>
                      <a:off x="0" y="0"/>
                      <a:ext cx="3122295" cy="2068195"/>
                    </a:xfrm>
                    <a:prstGeom prst="rect">
                      <a:avLst/>
                    </a:prstGeom>
                    <a:noFill/>
                    <a:ln>
                      <a:noFill/>
                    </a:ln>
                  </pic:spPr>
                </pic:pic>
              </a:graphicData>
            </a:graphic>
          </wp:anchor>
        </w:drawing>
      </w:r>
    </w:p>
    <w:p w14:paraId="64D1E3D0">
      <w:pPr>
        <w:widowControl/>
        <w:spacing w:line="500" w:lineRule="exact"/>
        <w:ind w:firstLine="280" w:firstLineChars="100"/>
        <w:jc w:val="left"/>
        <w:rPr>
          <w:rFonts w:hint="eastAsia" w:asciiTheme="minorEastAsia" w:hAnsiTheme="minorEastAsia"/>
          <w:color w:val="000000"/>
          <w:sz w:val="28"/>
          <w:szCs w:val="28"/>
        </w:rPr>
      </w:pPr>
    </w:p>
    <w:p w14:paraId="631D9068">
      <w:pPr>
        <w:widowControl/>
        <w:spacing w:line="500" w:lineRule="exact"/>
        <w:ind w:firstLine="280" w:firstLineChars="100"/>
        <w:jc w:val="left"/>
        <w:rPr>
          <w:rFonts w:hint="eastAsia" w:asciiTheme="minorEastAsia" w:hAnsiTheme="minorEastAsia"/>
          <w:color w:val="000000"/>
          <w:sz w:val="28"/>
          <w:szCs w:val="28"/>
        </w:rPr>
      </w:pPr>
    </w:p>
    <w:p w14:paraId="0039CA90">
      <w:pPr>
        <w:widowControl/>
        <w:spacing w:line="500" w:lineRule="exact"/>
        <w:ind w:firstLine="280" w:firstLineChars="100"/>
        <w:jc w:val="left"/>
        <w:rPr>
          <w:rFonts w:hint="eastAsia" w:asciiTheme="minorEastAsia" w:hAnsiTheme="minorEastAsia"/>
          <w:color w:val="000000"/>
          <w:sz w:val="28"/>
          <w:szCs w:val="28"/>
        </w:rPr>
      </w:pPr>
      <w:r>
        <w:rPr>
          <w:rFonts w:hint="eastAsia" w:asciiTheme="minorEastAsia" w:hAnsiTheme="minorEastAsia"/>
          <w:color w:val="000000"/>
          <w:sz w:val="28"/>
          <w:szCs w:val="28"/>
        </w:rPr>
        <w:t xml:space="preserve">   </w:t>
      </w:r>
    </w:p>
    <w:p w14:paraId="441CB58D">
      <w:pPr>
        <w:widowControl/>
        <w:spacing w:line="500" w:lineRule="exact"/>
        <w:ind w:firstLine="280" w:firstLineChars="100"/>
        <w:jc w:val="left"/>
        <w:rPr>
          <w:rFonts w:hint="eastAsia" w:asciiTheme="minorEastAsia" w:hAnsiTheme="minorEastAsia"/>
          <w:color w:val="000000"/>
          <w:sz w:val="28"/>
          <w:szCs w:val="28"/>
        </w:rPr>
      </w:pPr>
    </w:p>
    <w:p w14:paraId="1C6DC7C1">
      <w:pPr>
        <w:widowControl/>
        <w:spacing w:line="500" w:lineRule="exact"/>
        <w:ind w:firstLine="280" w:firstLineChars="100"/>
        <w:jc w:val="left"/>
        <w:rPr>
          <w:rFonts w:hint="eastAsia" w:asciiTheme="minorEastAsia" w:hAnsiTheme="minorEastAsia"/>
          <w:color w:val="000000"/>
          <w:sz w:val="28"/>
          <w:szCs w:val="28"/>
        </w:rPr>
      </w:pPr>
    </w:p>
    <w:p w14:paraId="3A94FDB2">
      <w:pPr>
        <w:widowControl/>
        <w:spacing w:line="500" w:lineRule="exact"/>
        <w:jc w:val="left"/>
        <w:rPr>
          <w:rFonts w:hint="eastAsia" w:ascii="宋体" w:hAnsi="宋体"/>
          <w:b/>
          <w:bCs/>
          <w:sz w:val="24"/>
          <w:szCs w:val="24"/>
        </w:rPr>
      </w:pPr>
    </w:p>
    <w:p w14:paraId="00D5738E">
      <w:pPr>
        <w:widowControl/>
        <w:spacing w:line="500" w:lineRule="exact"/>
        <w:ind w:firstLine="1205" w:firstLineChars="500"/>
        <w:jc w:val="left"/>
        <w:rPr>
          <w:rFonts w:hint="eastAsia" w:ascii="宋体" w:hAnsi="宋体"/>
          <w:b/>
          <w:bCs/>
          <w:sz w:val="24"/>
          <w:szCs w:val="24"/>
        </w:rPr>
      </w:pPr>
      <w:r>
        <w:rPr>
          <w:rFonts w:hint="eastAsia" w:ascii="宋体" w:hAnsi="宋体"/>
          <w:b/>
          <w:bCs/>
          <w:sz w:val="24"/>
          <w:szCs w:val="24"/>
        </w:rPr>
        <w:t xml:space="preserve">图 1  </w:t>
      </w:r>
      <w:r>
        <w:rPr>
          <w:rFonts w:hint="eastAsia" w:cs="宋体" w:asciiTheme="minorEastAsia" w:hAnsiTheme="minorEastAsia"/>
          <w:color w:val="000000"/>
          <w:kern w:val="0"/>
          <w:sz w:val="24"/>
          <w:szCs w:val="24"/>
        </w:rPr>
        <w:t>AC4C</w:t>
      </w:r>
      <w:r>
        <w:rPr>
          <w:rFonts w:hint="eastAsia" w:ascii="宋体" w:hAnsi="宋体"/>
          <w:b/>
          <w:bCs/>
          <w:sz w:val="24"/>
          <w:szCs w:val="24"/>
        </w:rPr>
        <w:t>铝合金生命周期评价范围（全产业链）</w:t>
      </w:r>
    </w:p>
    <w:p w14:paraId="17BEB28E">
      <w:pPr>
        <w:widowControl/>
        <w:spacing w:line="400" w:lineRule="exact"/>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2、取舍准则</w:t>
      </w:r>
    </w:p>
    <w:p w14:paraId="09D4AC42">
      <w:pPr>
        <w:widowControl/>
        <w:spacing w:line="400" w:lineRule="exact"/>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本研究采用的取舍准则为</w:t>
      </w:r>
      <w:r>
        <w:rPr>
          <w:rFonts w:cs="宋体" w:asciiTheme="minorEastAsia" w:hAnsiTheme="minorEastAsia"/>
          <w:color w:val="000000"/>
          <w:kern w:val="0"/>
          <w:sz w:val="24"/>
          <w:szCs w:val="24"/>
        </w:rPr>
        <w:t>:</w:t>
      </w:r>
    </w:p>
    <w:p w14:paraId="3EE12792">
      <w:pPr>
        <w:widowControl/>
        <w:spacing w:line="400" w:lineRule="exact"/>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各生产单元过程物料与产品的重量比小于</w:t>
      </w:r>
      <w:r>
        <w:rPr>
          <w:rFonts w:cs="宋体" w:asciiTheme="minorEastAsia" w:hAnsiTheme="minorEastAsia"/>
          <w:color w:val="000000"/>
          <w:kern w:val="0"/>
          <w:sz w:val="24"/>
          <w:szCs w:val="24"/>
        </w:rPr>
        <w:t>0.1%</w:t>
      </w:r>
      <w:r>
        <w:rPr>
          <w:rFonts w:hint="eastAsia" w:cs="宋体" w:asciiTheme="minorEastAsia" w:hAnsiTheme="minorEastAsia"/>
          <w:color w:val="000000"/>
          <w:kern w:val="0"/>
          <w:sz w:val="24"/>
          <w:szCs w:val="24"/>
        </w:rPr>
        <w:t>的不必填写，总舍弃量不超过</w:t>
      </w:r>
      <w:r>
        <w:rPr>
          <w:rFonts w:cs="宋体" w:asciiTheme="minorEastAsia" w:hAnsiTheme="minorEastAsia"/>
          <w:color w:val="000000"/>
          <w:kern w:val="0"/>
          <w:sz w:val="24"/>
          <w:szCs w:val="24"/>
        </w:rPr>
        <w:t>5%</w:t>
      </w:r>
      <w:r>
        <w:rPr>
          <w:rFonts w:hint="eastAsia" w:cs="宋体" w:asciiTheme="minorEastAsia" w:hAnsiTheme="minorEastAsia"/>
          <w:color w:val="000000"/>
          <w:kern w:val="0"/>
          <w:sz w:val="24"/>
          <w:szCs w:val="24"/>
        </w:rPr>
        <w:t>，且上游数据不可得的物料被忽略。</w:t>
      </w:r>
    </w:p>
    <w:p w14:paraId="5EB7E816">
      <w:pPr>
        <w:widowControl/>
        <w:spacing w:line="400" w:lineRule="exact"/>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本报告所有原辅料和能源等消耗都关联了上游数据</w:t>
      </w:r>
      <w:r>
        <w:rPr>
          <w:rFonts w:cs="宋体" w:asciiTheme="minorEastAsia" w:hAnsiTheme="minorEastAsia"/>
          <w:color w:val="000000"/>
          <w:kern w:val="0"/>
          <w:sz w:val="24"/>
          <w:szCs w:val="24"/>
        </w:rPr>
        <w:t>,</w:t>
      </w:r>
      <w:r>
        <w:rPr>
          <w:rFonts w:hint="eastAsia" w:cs="宋体" w:asciiTheme="minorEastAsia" w:hAnsiTheme="minorEastAsia"/>
          <w:color w:val="000000"/>
          <w:kern w:val="0"/>
          <w:sz w:val="24"/>
          <w:szCs w:val="24"/>
        </w:rPr>
        <w:t>部分消耗的上游数据采用近似替代的方式处理，因此无忽略的物料。</w:t>
      </w:r>
      <w:bookmarkStart w:id="0" w:name="_Toc22582"/>
    </w:p>
    <w:p w14:paraId="504F86A2">
      <w:pPr>
        <w:widowControl/>
        <w:spacing w:line="400" w:lineRule="exact"/>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3、</w:t>
      </w:r>
      <w:r>
        <w:rPr>
          <w:rFonts w:cs="宋体" w:asciiTheme="minorEastAsia" w:hAnsiTheme="minorEastAsia"/>
          <w:color w:val="000000"/>
          <w:kern w:val="0"/>
          <w:sz w:val="24"/>
          <w:szCs w:val="24"/>
        </w:rPr>
        <w:t>环境影响类型</w:t>
      </w:r>
      <w:bookmarkEnd w:id="0"/>
    </w:p>
    <w:p w14:paraId="15ECCB3F">
      <w:pPr>
        <w:widowControl/>
        <w:spacing w:line="400" w:lineRule="exact"/>
        <w:ind w:firstLine="480" w:firstLineChars="200"/>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为支持中国节能减排约束性政策目标的实现，本报告选择了</w:t>
      </w:r>
      <w:r>
        <w:rPr>
          <w:rFonts w:hint="eastAsia" w:cs="宋体" w:asciiTheme="minorEastAsia" w:hAnsiTheme="minorEastAsia"/>
          <w:color w:val="000000"/>
          <w:kern w:val="0"/>
          <w:sz w:val="24"/>
          <w:szCs w:val="24"/>
        </w:rPr>
        <w:t>5</w:t>
      </w:r>
      <w:r>
        <w:rPr>
          <w:rFonts w:cs="宋体" w:asciiTheme="minorEastAsia" w:hAnsiTheme="minorEastAsia"/>
          <w:color w:val="000000"/>
          <w:kern w:val="0"/>
          <w:sz w:val="24"/>
          <w:szCs w:val="24"/>
        </w:rPr>
        <w:t>种环境影响类型指标进行了计算，分别为气候变化</w:t>
      </w:r>
      <w:r>
        <w:rPr>
          <w:rFonts w:hint="eastAsia" w:cs="宋体" w:asciiTheme="minorEastAsia" w:hAnsiTheme="minorEastAsia"/>
          <w:color w:val="000000"/>
          <w:kern w:val="0"/>
          <w:sz w:val="24"/>
          <w:szCs w:val="24"/>
        </w:rPr>
        <w:t xml:space="preserve"> (</w:t>
      </w:r>
      <w:r>
        <w:rPr>
          <w:rFonts w:cs="宋体" w:asciiTheme="minorEastAsia" w:hAnsiTheme="minorEastAsia"/>
          <w:color w:val="000000"/>
          <w:kern w:val="0"/>
          <w:sz w:val="24"/>
          <w:szCs w:val="24"/>
        </w:rPr>
        <w:t>Climate Change, GWP</w:t>
      </w:r>
      <w:r>
        <w:rPr>
          <w:rFonts w:hint="eastAsia" w:cs="宋体" w:asciiTheme="minorEastAsia" w:hAnsiTheme="minorEastAsia"/>
          <w:color w:val="000000"/>
          <w:kern w:val="0"/>
          <w:sz w:val="24"/>
          <w:szCs w:val="24"/>
        </w:rPr>
        <w:t>)</w:t>
      </w:r>
      <w:r>
        <w:rPr>
          <w:rFonts w:cs="宋体" w:asciiTheme="minorEastAsia" w:hAnsiTheme="minorEastAsia"/>
          <w:color w:val="000000"/>
          <w:kern w:val="0"/>
          <w:sz w:val="24"/>
          <w:szCs w:val="24"/>
        </w:rPr>
        <w:t>，初级能源消耗</w:t>
      </w:r>
      <w:r>
        <w:rPr>
          <w:rFonts w:hint="eastAsia" w:cs="宋体" w:asciiTheme="minorEastAsia" w:hAnsiTheme="minorEastAsia"/>
          <w:color w:val="000000"/>
          <w:kern w:val="0"/>
          <w:sz w:val="24"/>
          <w:szCs w:val="24"/>
        </w:rPr>
        <w:t xml:space="preserve"> (</w:t>
      </w:r>
      <w:r>
        <w:rPr>
          <w:rFonts w:cs="宋体" w:asciiTheme="minorEastAsia" w:hAnsiTheme="minorEastAsia"/>
          <w:color w:val="000000"/>
          <w:kern w:val="0"/>
          <w:sz w:val="24"/>
          <w:szCs w:val="24"/>
        </w:rPr>
        <w:t>Primary Energy Demand, PED</w:t>
      </w:r>
      <w:r>
        <w:rPr>
          <w:rFonts w:hint="eastAsia" w:cs="宋体" w:asciiTheme="minorEastAsia" w:hAnsiTheme="minorEastAsia"/>
          <w:color w:val="000000"/>
          <w:kern w:val="0"/>
          <w:sz w:val="24"/>
          <w:szCs w:val="24"/>
        </w:rPr>
        <w:t>)</w:t>
      </w:r>
      <w:r>
        <w:rPr>
          <w:rFonts w:cs="宋体" w:asciiTheme="minorEastAsia" w:hAnsiTheme="minorEastAsia"/>
          <w:color w:val="000000"/>
          <w:kern w:val="0"/>
          <w:sz w:val="24"/>
          <w:szCs w:val="24"/>
        </w:rPr>
        <w:t>、水资源消耗</w:t>
      </w:r>
      <w:r>
        <w:rPr>
          <w:rFonts w:hint="eastAsia" w:cs="宋体" w:asciiTheme="minorEastAsia" w:hAnsiTheme="minorEastAsia"/>
          <w:color w:val="000000"/>
          <w:kern w:val="0"/>
          <w:sz w:val="24"/>
          <w:szCs w:val="24"/>
        </w:rPr>
        <w:t xml:space="preserve"> </w:t>
      </w:r>
      <w:r>
        <w:rPr>
          <w:rFonts w:cs="宋体" w:asciiTheme="minorEastAsia" w:hAnsiTheme="minorEastAsia"/>
          <w:color w:val="000000"/>
          <w:kern w:val="0"/>
          <w:sz w:val="24"/>
          <w:szCs w:val="24"/>
        </w:rPr>
        <w:t>(Resource Depletion – water, WU)、酸化</w:t>
      </w:r>
      <w:r>
        <w:rPr>
          <w:rFonts w:hint="eastAsia" w:cs="宋体" w:asciiTheme="minorEastAsia" w:hAnsiTheme="minorEastAsia"/>
          <w:color w:val="000000"/>
          <w:kern w:val="0"/>
          <w:sz w:val="24"/>
          <w:szCs w:val="24"/>
        </w:rPr>
        <w:t xml:space="preserve"> </w:t>
      </w:r>
      <w:r>
        <w:rPr>
          <w:rFonts w:cs="宋体" w:asciiTheme="minorEastAsia" w:hAnsiTheme="minorEastAsia"/>
          <w:color w:val="000000"/>
          <w:kern w:val="0"/>
          <w:sz w:val="24"/>
          <w:szCs w:val="24"/>
        </w:rPr>
        <w:t>(Acidification, AP)、颗粒物</w:t>
      </w:r>
      <w:r>
        <w:rPr>
          <w:rFonts w:hint="eastAsia" w:cs="宋体" w:asciiTheme="minorEastAsia" w:hAnsiTheme="minorEastAsia"/>
          <w:color w:val="000000"/>
          <w:kern w:val="0"/>
          <w:sz w:val="24"/>
          <w:szCs w:val="24"/>
        </w:rPr>
        <w:t>(</w:t>
      </w:r>
      <w:r>
        <w:rPr>
          <w:rFonts w:cs="宋体" w:asciiTheme="minorEastAsia" w:hAnsiTheme="minorEastAsia"/>
          <w:color w:val="000000"/>
          <w:kern w:val="0"/>
          <w:sz w:val="24"/>
          <w:szCs w:val="24"/>
        </w:rPr>
        <w:t>Particulate matter, PM)。</w:t>
      </w:r>
    </w:p>
    <w:p w14:paraId="383DF3EC">
      <w:pPr>
        <w:tabs>
          <w:tab w:val="left" w:pos="990"/>
        </w:tabs>
        <w:autoSpaceDE w:val="0"/>
        <w:autoSpaceDN w:val="0"/>
        <w:adjustRightInd w:val="0"/>
        <w:spacing w:line="360" w:lineRule="auto"/>
        <w:ind w:firstLine="3150" w:firstLineChars="1500"/>
        <w:rPr>
          <w:rFonts w:hint="eastAsia" w:asciiTheme="minorEastAsia" w:hAnsiTheme="minorEastAsia"/>
          <w:color w:val="000000"/>
          <w:sz w:val="28"/>
          <w:szCs w:val="28"/>
        </w:rPr>
      </w:pPr>
      <w:r>
        <w:rPr>
          <w:rFonts w:ascii="Times New Roman" w:hAnsi="Times New Roman" w:eastAsia="黑体" w:cs="Times New Roman"/>
          <w:szCs w:val="21"/>
        </w:rPr>
        <w:t>表</w:t>
      </w:r>
      <w:r>
        <w:rPr>
          <w:rFonts w:hint="eastAsia" w:ascii="Times New Roman" w:hAnsi="Times New Roman" w:eastAsia="黑体" w:cs="Times New Roman"/>
          <w:szCs w:val="21"/>
        </w:rPr>
        <w:t>1</w:t>
      </w:r>
      <w:r>
        <w:rPr>
          <w:rFonts w:ascii="Times New Roman" w:hAnsi="Times New Roman" w:eastAsia="黑体" w:cs="Times New Roman"/>
          <w:szCs w:val="21"/>
        </w:rPr>
        <w:t xml:space="preserve">  环境影响类型指标</w:t>
      </w: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14:paraId="7C4F4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0" w:type="dxa"/>
            <w:vAlign w:val="center"/>
          </w:tcPr>
          <w:p w14:paraId="3BC37BE0">
            <w:pPr>
              <w:jc w:val="center"/>
              <w:rPr>
                <w:rFonts w:hint="eastAsia" w:cs="Times New Roman" w:asciiTheme="minorEastAsia" w:hAnsiTheme="minorEastAsia"/>
              </w:rPr>
            </w:pPr>
            <w:r>
              <w:rPr>
                <w:rFonts w:cs="Times New Roman" w:asciiTheme="minorEastAsia" w:hAnsiTheme="minorEastAsia"/>
              </w:rPr>
              <w:t>环境影响类型指标</w:t>
            </w:r>
          </w:p>
        </w:tc>
        <w:tc>
          <w:tcPr>
            <w:tcW w:w="2841" w:type="dxa"/>
            <w:vAlign w:val="center"/>
          </w:tcPr>
          <w:p w14:paraId="557423BB">
            <w:pPr>
              <w:jc w:val="center"/>
              <w:rPr>
                <w:rFonts w:hint="eastAsia" w:cs="Times New Roman" w:asciiTheme="minorEastAsia" w:hAnsiTheme="minorEastAsia"/>
              </w:rPr>
            </w:pPr>
            <w:r>
              <w:rPr>
                <w:rFonts w:cs="Times New Roman" w:asciiTheme="minorEastAsia" w:hAnsiTheme="minorEastAsia"/>
              </w:rPr>
              <w:t>影响类型指标单位</w:t>
            </w:r>
            <w:r>
              <w:rPr>
                <w:rFonts w:hint="eastAsia" w:cs="Times New Roman" w:asciiTheme="minorEastAsia" w:hAnsiTheme="minorEastAsia"/>
              </w:rPr>
              <w:t xml:space="preserve">  </w:t>
            </w:r>
          </w:p>
        </w:tc>
        <w:tc>
          <w:tcPr>
            <w:tcW w:w="2841" w:type="dxa"/>
            <w:vAlign w:val="center"/>
          </w:tcPr>
          <w:p w14:paraId="638B913A">
            <w:pPr>
              <w:jc w:val="center"/>
              <w:rPr>
                <w:rFonts w:hint="eastAsia" w:cs="Times New Roman" w:asciiTheme="minorEastAsia" w:hAnsiTheme="minorEastAsia"/>
              </w:rPr>
            </w:pPr>
            <w:r>
              <w:rPr>
                <w:rFonts w:cs="Times New Roman" w:asciiTheme="minorEastAsia" w:hAnsiTheme="minorEastAsia"/>
              </w:rPr>
              <w:t>主要清单物质</w:t>
            </w:r>
          </w:p>
        </w:tc>
      </w:tr>
      <w:tr w14:paraId="499B05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0" w:type="dxa"/>
            <w:vAlign w:val="center"/>
          </w:tcPr>
          <w:p w14:paraId="081D806E">
            <w:pPr>
              <w:jc w:val="center"/>
              <w:rPr>
                <w:rFonts w:hint="eastAsia" w:cs="Times New Roman" w:asciiTheme="minorEastAsia" w:hAnsiTheme="minorEastAsia"/>
              </w:rPr>
            </w:pPr>
            <w:r>
              <w:rPr>
                <w:rFonts w:cs="Times New Roman" w:asciiTheme="minorEastAsia" w:hAnsiTheme="minorEastAsia"/>
              </w:rPr>
              <w:t>气候变化</w:t>
            </w:r>
          </w:p>
        </w:tc>
        <w:tc>
          <w:tcPr>
            <w:tcW w:w="2841" w:type="dxa"/>
            <w:vAlign w:val="center"/>
          </w:tcPr>
          <w:p w14:paraId="6ED4AE89">
            <w:pPr>
              <w:pStyle w:val="22"/>
              <w:spacing w:line="0" w:lineRule="atLeast"/>
              <w:ind w:left="113"/>
              <w:jc w:val="center"/>
              <w:rPr>
                <w:rFonts w:hint="eastAsia"/>
                <w:spacing w:val="-1"/>
                <w:lang w:eastAsia="zh-CN"/>
              </w:rPr>
            </w:pPr>
            <w:r>
              <w:rPr>
                <w:rFonts w:ascii="Times New Roman" w:hAnsi="Times New Roman" w:cs="Times New Roman"/>
                <w:color w:val="000000" w:themeColor="text1"/>
                <w:sz w:val="21"/>
                <w:szCs w:val="21"/>
              </w:rPr>
              <w:t>(kg CO2 eq.)</w:t>
            </w:r>
          </w:p>
        </w:tc>
        <w:tc>
          <w:tcPr>
            <w:tcW w:w="2841" w:type="dxa"/>
          </w:tcPr>
          <w:p w14:paraId="7038AEE9">
            <w:pPr>
              <w:jc w:val="center"/>
              <w:rPr>
                <w:rFonts w:hint="eastAsia" w:cs="Times New Roman" w:asciiTheme="minorEastAsia" w:hAnsiTheme="minorEastAsia"/>
              </w:rPr>
            </w:pPr>
            <w:r>
              <w:rPr>
                <w:rFonts w:hint="eastAsia" w:cs="Times New Roman" w:asciiTheme="minorEastAsia" w:hAnsiTheme="minorEastAsia"/>
              </w:rPr>
              <w:t>CO2</w:t>
            </w:r>
          </w:p>
        </w:tc>
      </w:tr>
      <w:tr w14:paraId="7DE827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0" w:type="dxa"/>
            <w:vAlign w:val="center"/>
          </w:tcPr>
          <w:p w14:paraId="5B26262B">
            <w:pPr>
              <w:jc w:val="center"/>
              <w:rPr>
                <w:rFonts w:hint="eastAsia" w:cs="Times New Roman" w:asciiTheme="minorEastAsia" w:hAnsiTheme="minorEastAsia"/>
              </w:rPr>
            </w:pPr>
            <w:r>
              <w:rPr>
                <w:rFonts w:cs="Times New Roman" w:asciiTheme="minorEastAsia" w:hAnsiTheme="minorEastAsia"/>
              </w:rPr>
              <w:t>能源消耗</w:t>
            </w:r>
          </w:p>
        </w:tc>
        <w:tc>
          <w:tcPr>
            <w:tcW w:w="2841" w:type="dxa"/>
            <w:vAlign w:val="center"/>
          </w:tcPr>
          <w:p w14:paraId="6193345C">
            <w:pPr>
              <w:pStyle w:val="22"/>
              <w:spacing w:line="0" w:lineRule="atLeast"/>
              <w:ind w:left="113"/>
              <w:jc w:val="center"/>
              <w:rPr>
                <w:rFonts w:hint="eastAsia"/>
                <w:spacing w:val="-1"/>
                <w:lang w:eastAsia="zh-CN"/>
              </w:rPr>
            </w:pPr>
            <w:r>
              <w:rPr>
                <w:rFonts w:ascii="Times New Roman" w:hAnsi="Times New Roman" w:cs="Times New Roman"/>
                <w:color w:val="000000" w:themeColor="text1"/>
                <w:sz w:val="21"/>
                <w:szCs w:val="21"/>
              </w:rPr>
              <w:t>(MJ)</w:t>
            </w:r>
          </w:p>
        </w:tc>
        <w:tc>
          <w:tcPr>
            <w:tcW w:w="2841" w:type="dxa"/>
          </w:tcPr>
          <w:p w14:paraId="674C871C">
            <w:pPr>
              <w:ind w:firstLine="630" w:firstLineChars="300"/>
              <w:rPr>
                <w:rFonts w:hint="eastAsia" w:cs="Times New Roman" w:asciiTheme="minorEastAsia" w:hAnsiTheme="minorEastAsia"/>
              </w:rPr>
            </w:pPr>
            <w:r>
              <w:rPr>
                <w:rFonts w:hint="eastAsia" w:ascii="Times New Roman" w:hAnsi="Times New Roman" w:eastAsia="宋体" w:cs="Times New Roman"/>
                <w:snapToGrid w:val="0"/>
                <w:color w:val="000000" w:themeColor="text1"/>
                <w:kern w:val="0"/>
                <w:szCs w:val="21"/>
                <w:lang w:eastAsia="en-US"/>
              </w:rPr>
              <w:t>天然气、柴油、电</w:t>
            </w:r>
          </w:p>
        </w:tc>
      </w:tr>
      <w:tr w14:paraId="028E4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0" w:type="dxa"/>
            <w:vAlign w:val="center"/>
          </w:tcPr>
          <w:p w14:paraId="4E3763B3">
            <w:pPr>
              <w:jc w:val="center"/>
              <w:rPr>
                <w:rFonts w:hint="eastAsia" w:cs="Times New Roman" w:asciiTheme="minorEastAsia" w:hAnsiTheme="minorEastAsia"/>
              </w:rPr>
            </w:pPr>
            <w:r>
              <w:rPr>
                <w:rFonts w:cs="Times New Roman" w:asciiTheme="minorEastAsia" w:hAnsiTheme="minorEastAsia"/>
              </w:rPr>
              <w:t>水资源消耗</w:t>
            </w:r>
          </w:p>
        </w:tc>
        <w:tc>
          <w:tcPr>
            <w:tcW w:w="2841" w:type="dxa"/>
            <w:vAlign w:val="center"/>
          </w:tcPr>
          <w:p w14:paraId="3DF89794">
            <w:pPr>
              <w:pStyle w:val="22"/>
              <w:spacing w:line="0" w:lineRule="atLeast"/>
              <w:ind w:left="113"/>
              <w:jc w:val="center"/>
              <w:rPr>
                <w:rFonts w:hint="eastAsia"/>
                <w:spacing w:val="-1"/>
                <w:lang w:eastAsia="zh-CN"/>
              </w:rPr>
            </w:pPr>
            <w:r>
              <w:rPr>
                <w:rFonts w:hint="eastAsia"/>
                <w:spacing w:val="-1"/>
                <w:lang w:eastAsia="zh-CN"/>
              </w:rPr>
              <w:t>M</w:t>
            </w:r>
            <w:r>
              <w:rPr>
                <w:rFonts w:hint="eastAsia"/>
                <w:spacing w:val="-1"/>
                <w:vertAlign w:val="superscript"/>
                <w:lang w:eastAsia="zh-CN"/>
              </w:rPr>
              <w:t>3</w:t>
            </w:r>
            <w:r>
              <w:rPr>
                <w:rFonts w:hint="eastAsia"/>
                <w:spacing w:val="-1"/>
                <w:lang w:eastAsia="zh-CN"/>
              </w:rPr>
              <w:t>/t</w:t>
            </w:r>
          </w:p>
        </w:tc>
        <w:tc>
          <w:tcPr>
            <w:tcW w:w="2841" w:type="dxa"/>
          </w:tcPr>
          <w:p w14:paraId="04DBE289">
            <w:pPr>
              <w:jc w:val="center"/>
              <w:rPr>
                <w:rFonts w:hint="eastAsia" w:cs="Times New Roman" w:asciiTheme="minorEastAsia" w:hAnsiTheme="minorEastAsia"/>
              </w:rPr>
            </w:pPr>
            <w:r>
              <w:rPr>
                <w:rFonts w:hint="eastAsia" w:cs="Times New Roman" w:asciiTheme="minorEastAsia" w:hAnsiTheme="minorEastAsia"/>
              </w:rPr>
              <w:t>工业用水</w:t>
            </w:r>
          </w:p>
        </w:tc>
      </w:tr>
      <w:tr w14:paraId="72BCC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0" w:type="dxa"/>
            <w:vAlign w:val="center"/>
          </w:tcPr>
          <w:p w14:paraId="27247DAF">
            <w:pPr>
              <w:jc w:val="center"/>
              <w:rPr>
                <w:rFonts w:hint="eastAsia" w:cs="Times New Roman" w:asciiTheme="minorEastAsia" w:hAnsiTheme="minorEastAsia"/>
              </w:rPr>
            </w:pPr>
            <w:r>
              <w:rPr>
                <w:rFonts w:cs="Times New Roman" w:asciiTheme="minorEastAsia" w:hAnsiTheme="minorEastAsia"/>
              </w:rPr>
              <w:t>酸化</w:t>
            </w:r>
          </w:p>
        </w:tc>
        <w:tc>
          <w:tcPr>
            <w:tcW w:w="2841" w:type="dxa"/>
            <w:vAlign w:val="center"/>
          </w:tcPr>
          <w:p w14:paraId="3DF6706D">
            <w:pPr>
              <w:pStyle w:val="22"/>
              <w:spacing w:line="0" w:lineRule="atLeast"/>
              <w:ind w:left="113"/>
              <w:jc w:val="center"/>
              <w:rPr>
                <w:rFonts w:hint="eastAsia"/>
                <w:spacing w:val="-1"/>
                <w:lang w:eastAsia="zh-CN"/>
              </w:rPr>
            </w:pPr>
            <w:r>
              <w:rPr>
                <w:rFonts w:ascii="Times New Roman" w:hAnsi="Times New Roman" w:cs="Times New Roman"/>
                <w:color w:val="000000" w:themeColor="text1"/>
                <w:sz w:val="21"/>
                <w:szCs w:val="21"/>
              </w:rPr>
              <w:t>（kg SO2 eq.）</w:t>
            </w:r>
          </w:p>
        </w:tc>
        <w:tc>
          <w:tcPr>
            <w:tcW w:w="2841" w:type="dxa"/>
          </w:tcPr>
          <w:p w14:paraId="3243EBE0">
            <w:pPr>
              <w:jc w:val="center"/>
              <w:rPr>
                <w:rFonts w:hint="eastAsia" w:cs="Times New Roman" w:asciiTheme="minorEastAsia" w:hAnsiTheme="minorEastAsia"/>
              </w:rPr>
            </w:pPr>
            <w:r>
              <w:rPr>
                <w:rFonts w:hint="eastAsia" w:cs="Times New Roman" w:asciiTheme="minorEastAsia" w:hAnsiTheme="minorEastAsia"/>
              </w:rPr>
              <w:t>SO2</w:t>
            </w:r>
          </w:p>
        </w:tc>
      </w:tr>
      <w:tr w14:paraId="6CFDD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840" w:type="dxa"/>
          </w:tcPr>
          <w:p w14:paraId="4F4D55A9">
            <w:pPr>
              <w:jc w:val="center"/>
              <w:rPr>
                <w:rFonts w:hint="eastAsia" w:cs="Times New Roman" w:asciiTheme="minorEastAsia" w:hAnsiTheme="minorEastAsia"/>
              </w:rPr>
            </w:pPr>
            <w:r>
              <w:rPr>
                <w:rFonts w:cs="Times New Roman" w:asciiTheme="minorEastAsia" w:hAnsiTheme="minorEastAsia"/>
              </w:rPr>
              <w:t>颗粒物</w:t>
            </w:r>
          </w:p>
        </w:tc>
        <w:tc>
          <w:tcPr>
            <w:tcW w:w="2841" w:type="dxa"/>
            <w:vAlign w:val="center"/>
          </w:tcPr>
          <w:p w14:paraId="64DC1A85">
            <w:pPr>
              <w:pStyle w:val="22"/>
              <w:spacing w:line="0" w:lineRule="atLeast"/>
              <w:ind w:left="113"/>
              <w:rPr>
                <w:rFonts w:hint="eastAsia"/>
                <w:spacing w:val="-1"/>
                <w:lang w:eastAsia="zh-CN"/>
              </w:rPr>
            </w:pPr>
            <w:r>
              <w:rPr>
                <w:rFonts w:hint="eastAsia"/>
                <w:spacing w:val="-1"/>
                <w:lang w:eastAsia="zh-CN"/>
              </w:rPr>
              <w:t xml:space="preserve">         </w:t>
            </w:r>
            <w:r>
              <w:rPr>
                <w:rFonts w:ascii="Times New Roman" w:hAnsi="Times New Roman" w:cs="Times New Roman"/>
                <w:color w:val="000000" w:themeColor="text1"/>
                <w:sz w:val="21"/>
                <w:szCs w:val="21"/>
              </w:rPr>
              <w:t>(PM2.5 eq.)</w:t>
            </w:r>
          </w:p>
        </w:tc>
        <w:tc>
          <w:tcPr>
            <w:tcW w:w="2841" w:type="dxa"/>
          </w:tcPr>
          <w:p w14:paraId="6AF25042">
            <w:pPr>
              <w:jc w:val="center"/>
              <w:rPr>
                <w:rFonts w:hint="eastAsia" w:cs="Times New Roman" w:asciiTheme="minorEastAsia" w:hAnsiTheme="minorEastAsia"/>
              </w:rPr>
            </w:pPr>
            <w:r>
              <w:rPr>
                <w:rFonts w:hint="eastAsia" w:cs="Times New Roman" w:asciiTheme="minorEastAsia" w:hAnsiTheme="minorEastAsia"/>
              </w:rPr>
              <w:t>-</w:t>
            </w:r>
          </w:p>
        </w:tc>
      </w:tr>
    </w:tbl>
    <w:p w14:paraId="61EFC419">
      <w:pPr>
        <w:spacing w:before="156" w:beforeLines="50"/>
        <w:ind w:firstLine="420" w:firstLineChars="200"/>
        <w:rPr>
          <w:rFonts w:ascii="Times New Roman" w:hAnsi="Times New Roman" w:eastAsia="楷体" w:cs="Times New Roman"/>
          <w:color w:val="000000" w:themeColor="text1"/>
          <w:szCs w:val="21"/>
        </w:rPr>
      </w:pPr>
      <w:r>
        <w:rPr>
          <w:rFonts w:ascii="Times New Roman" w:hAnsi="Times New Roman" w:eastAsia="楷体" w:cs="Times New Roman"/>
          <w:color w:val="000000" w:themeColor="text1"/>
          <w:szCs w:val="21"/>
        </w:rPr>
        <w:t>注：eq.是equivalent的缩写，意为当量。</w:t>
      </w:r>
    </w:p>
    <w:p w14:paraId="4642EA25">
      <w:pPr>
        <w:spacing w:before="156" w:beforeLines="50"/>
        <w:ind w:firstLine="420" w:firstLineChars="200"/>
        <w:rPr>
          <w:rFonts w:ascii="Times New Roman" w:hAnsi="Times New Roman" w:eastAsia="楷体" w:cs="Times New Roman"/>
          <w:color w:val="000000" w:themeColor="text1"/>
          <w:szCs w:val="21"/>
        </w:rPr>
      </w:pPr>
      <w:r>
        <w:rPr>
          <w:rFonts w:ascii="Times New Roman" w:hAnsi="Times New Roman" w:eastAsia="楷体" w:cs="Times New Roman"/>
          <w:color w:val="000000" w:themeColor="text1"/>
          <w:szCs w:val="21"/>
        </w:rPr>
        <w:t>*PED指标为铝合金轮毂生命周期系统边界内使用的所有一次能源之和；</w:t>
      </w:r>
    </w:p>
    <w:p w14:paraId="101D58F9">
      <w:pPr>
        <w:spacing w:before="156" w:beforeLines="50"/>
        <w:ind w:firstLine="420" w:firstLineChars="200"/>
        <w:rPr>
          <w:rFonts w:ascii="Times New Roman" w:hAnsi="Times New Roman" w:eastAsia="楷体" w:cs="Times New Roman"/>
          <w:color w:val="000000" w:themeColor="text1"/>
          <w:szCs w:val="21"/>
        </w:rPr>
      </w:pPr>
      <w:r>
        <w:rPr>
          <w:rFonts w:ascii="Times New Roman" w:hAnsi="Times New Roman" w:eastAsia="楷体" w:cs="Times New Roman"/>
          <w:color w:val="000000" w:themeColor="text1"/>
          <w:szCs w:val="21"/>
        </w:rPr>
        <w:t>**WU指标为铝合金轮毂生命周期系统边界内使用的所有水资源（特指径流）之和。</w:t>
      </w:r>
    </w:p>
    <w:p w14:paraId="50EAFF87">
      <w:pPr>
        <w:widowControl/>
        <w:spacing w:line="500" w:lineRule="exact"/>
        <w:ind w:firstLine="281" w:firstLineChars="100"/>
        <w:jc w:val="left"/>
        <w:rPr>
          <w:rFonts w:hint="eastAsia" w:asciiTheme="minorEastAsia" w:hAnsiTheme="minorEastAsia"/>
          <w:b/>
          <w:color w:val="000000"/>
          <w:sz w:val="28"/>
          <w:szCs w:val="28"/>
        </w:rPr>
      </w:pPr>
      <w:r>
        <w:rPr>
          <w:rFonts w:hint="eastAsia" w:asciiTheme="minorEastAsia" w:hAnsiTheme="minorEastAsia"/>
          <w:b/>
          <w:color w:val="000000"/>
          <w:sz w:val="28"/>
          <w:szCs w:val="28"/>
        </w:rPr>
        <w:t xml:space="preserve">三、清单数据分析 </w:t>
      </w:r>
      <w:bookmarkStart w:id="1" w:name="_Toc31022"/>
    </w:p>
    <w:p w14:paraId="6259CB49">
      <w:pPr>
        <w:widowControl/>
        <w:spacing w:line="400" w:lineRule="exact"/>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1、AC4C</w:t>
      </w:r>
      <w:r>
        <w:rPr>
          <w:rFonts w:cs="宋体" w:asciiTheme="minorEastAsia" w:hAnsiTheme="minorEastAsia"/>
          <w:color w:val="000000"/>
          <w:kern w:val="0"/>
          <w:sz w:val="24"/>
          <w:szCs w:val="24"/>
        </w:rPr>
        <w:t>铝</w:t>
      </w:r>
      <w:r>
        <w:rPr>
          <w:rFonts w:hint="eastAsia" w:cs="宋体" w:asciiTheme="minorEastAsia" w:hAnsiTheme="minorEastAsia"/>
          <w:color w:val="000000"/>
          <w:kern w:val="0"/>
          <w:sz w:val="24"/>
          <w:szCs w:val="24"/>
        </w:rPr>
        <w:t>锭</w:t>
      </w:r>
      <w:r>
        <w:rPr>
          <w:rFonts w:cs="宋体" w:asciiTheme="minorEastAsia" w:hAnsiTheme="minorEastAsia"/>
          <w:color w:val="000000"/>
          <w:kern w:val="0"/>
          <w:sz w:val="24"/>
          <w:szCs w:val="24"/>
        </w:rPr>
        <w:t>生产</w:t>
      </w:r>
      <w:bookmarkEnd w:id="1"/>
    </w:p>
    <w:p w14:paraId="29D8A948">
      <w:pPr>
        <w:widowControl/>
        <w:spacing w:line="400" w:lineRule="exact"/>
        <w:ind w:firstLine="480" w:firstLineChars="200"/>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（1）过程基本信息</w:t>
      </w:r>
    </w:p>
    <w:p w14:paraId="77E2E8FF">
      <w:pPr>
        <w:widowControl/>
        <w:spacing w:line="400" w:lineRule="exact"/>
        <w:ind w:firstLine="480" w:firstLineChars="200"/>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过程名称：</w:t>
      </w:r>
      <w:r>
        <w:rPr>
          <w:rFonts w:hint="eastAsia" w:cs="宋体" w:asciiTheme="minorEastAsia" w:hAnsiTheme="minorEastAsia"/>
          <w:color w:val="000000"/>
          <w:kern w:val="0"/>
          <w:sz w:val="24"/>
          <w:szCs w:val="24"/>
        </w:rPr>
        <w:t>AC4C</w:t>
      </w:r>
      <w:r>
        <w:rPr>
          <w:rFonts w:cs="宋体" w:asciiTheme="minorEastAsia" w:hAnsiTheme="minorEastAsia"/>
          <w:color w:val="000000"/>
          <w:kern w:val="0"/>
          <w:sz w:val="24"/>
          <w:szCs w:val="24"/>
        </w:rPr>
        <w:t>铝</w:t>
      </w:r>
      <w:r>
        <w:rPr>
          <w:rFonts w:hint="eastAsia" w:cs="宋体" w:asciiTheme="minorEastAsia" w:hAnsiTheme="minorEastAsia"/>
          <w:color w:val="000000"/>
          <w:kern w:val="0"/>
          <w:sz w:val="24"/>
          <w:szCs w:val="24"/>
        </w:rPr>
        <w:t>锭</w:t>
      </w:r>
      <w:r>
        <w:rPr>
          <w:rFonts w:cs="宋体" w:asciiTheme="minorEastAsia" w:hAnsiTheme="minorEastAsia"/>
          <w:color w:val="000000"/>
          <w:kern w:val="0"/>
          <w:sz w:val="24"/>
          <w:szCs w:val="24"/>
        </w:rPr>
        <w:t>生产过程</w:t>
      </w:r>
    </w:p>
    <w:p w14:paraId="57118788">
      <w:pPr>
        <w:widowControl/>
        <w:spacing w:line="400" w:lineRule="exact"/>
        <w:ind w:firstLine="480" w:firstLineChars="200"/>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过程边界：从</w:t>
      </w:r>
      <w:r>
        <w:rPr>
          <w:rFonts w:hint="eastAsia" w:cs="宋体" w:asciiTheme="minorEastAsia" w:hAnsiTheme="minorEastAsia"/>
          <w:color w:val="000000"/>
          <w:kern w:val="0"/>
          <w:sz w:val="24"/>
          <w:szCs w:val="24"/>
        </w:rPr>
        <w:t>电解铝</w:t>
      </w:r>
      <w:r>
        <w:rPr>
          <w:rFonts w:cs="宋体" w:asciiTheme="minorEastAsia" w:hAnsiTheme="minorEastAsia"/>
          <w:color w:val="000000"/>
          <w:kern w:val="0"/>
          <w:sz w:val="24"/>
          <w:szCs w:val="24"/>
        </w:rPr>
        <w:t>等原辅料进厂到</w:t>
      </w:r>
      <w:r>
        <w:rPr>
          <w:rFonts w:hint="eastAsia" w:cs="宋体" w:asciiTheme="minorEastAsia" w:hAnsiTheme="minorEastAsia"/>
          <w:color w:val="000000"/>
          <w:kern w:val="0"/>
          <w:sz w:val="24"/>
          <w:szCs w:val="24"/>
        </w:rPr>
        <w:t>AC4C</w:t>
      </w:r>
      <w:r>
        <w:rPr>
          <w:rFonts w:cs="宋体" w:asciiTheme="minorEastAsia" w:hAnsiTheme="minorEastAsia"/>
          <w:color w:val="000000"/>
          <w:kern w:val="0"/>
          <w:sz w:val="24"/>
          <w:szCs w:val="24"/>
        </w:rPr>
        <w:t>铝</w:t>
      </w:r>
      <w:r>
        <w:rPr>
          <w:rFonts w:hint="eastAsia" w:cs="宋体" w:asciiTheme="minorEastAsia" w:hAnsiTheme="minorEastAsia"/>
          <w:color w:val="000000"/>
          <w:kern w:val="0"/>
          <w:sz w:val="24"/>
          <w:szCs w:val="24"/>
        </w:rPr>
        <w:t>锭</w:t>
      </w:r>
      <w:r>
        <w:rPr>
          <w:rFonts w:cs="宋体" w:asciiTheme="minorEastAsia" w:hAnsiTheme="minorEastAsia"/>
          <w:color w:val="000000"/>
          <w:kern w:val="0"/>
          <w:sz w:val="24"/>
          <w:szCs w:val="24"/>
        </w:rPr>
        <w:t>出厂</w:t>
      </w:r>
    </w:p>
    <w:p w14:paraId="568940D9">
      <w:pPr>
        <w:widowControl/>
        <w:spacing w:line="400" w:lineRule="exact"/>
        <w:ind w:firstLine="480" w:firstLineChars="200"/>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（2）数据代表性</w:t>
      </w:r>
    </w:p>
    <w:p w14:paraId="6A89B9DE">
      <w:pPr>
        <w:widowControl/>
        <w:spacing w:line="400" w:lineRule="exact"/>
        <w:ind w:firstLine="480" w:firstLineChars="200"/>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主要数据来源：企业现场调查</w:t>
      </w:r>
    </w:p>
    <w:p w14:paraId="40AC6F36">
      <w:pPr>
        <w:widowControl/>
        <w:spacing w:line="400" w:lineRule="exact"/>
        <w:ind w:firstLine="480" w:firstLineChars="200"/>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企业名称：</w:t>
      </w:r>
      <w:r>
        <w:rPr>
          <w:rFonts w:hint="eastAsia" w:cs="宋体" w:asciiTheme="minorEastAsia" w:hAnsiTheme="minorEastAsia"/>
          <w:color w:val="000000"/>
          <w:kern w:val="0"/>
          <w:sz w:val="24"/>
          <w:szCs w:val="24"/>
        </w:rPr>
        <w:t>广东隆达铝业有限公司</w:t>
      </w:r>
    </w:p>
    <w:p w14:paraId="3233443C">
      <w:pPr>
        <w:widowControl/>
        <w:spacing w:line="400" w:lineRule="exact"/>
        <w:ind w:firstLine="480" w:firstLineChars="200"/>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产地：</w:t>
      </w:r>
      <w:r>
        <w:rPr>
          <w:rFonts w:hint="eastAsia" w:cs="宋体" w:asciiTheme="minorEastAsia" w:hAnsiTheme="minorEastAsia"/>
          <w:color w:val="000000"/>
          <w:kern w:val="0"/>
          <w:sz w:val="24"/>
          <w:szCs w:val="24"/>
        </w:rPr>
        <w:t>清远市清城区循环经济产业园西区6号</w:t>
      </w:r>
    </w:p>
    <w:p w14:paraId="73CD6E90">
      <w:pPr>
        <w:widowControl/>
        <w:spacing w:line="400" w:lineRule="exact"/>
        <w:ind w:firstLine="480" w:firstLineChars="200"/>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基准年：</w:t>
      </w:r>
      <w:r>
        <w:rPr>
          <w:rFonts w:hint="eastAsia" w:cs="宋体" w:asciiTheme="minorEastAsia" w:hAnsiTheme="minorEastAsia"/>
          <w:color w:val="000000"/>
          <w:kern w:val="0"/>
          <w:sz w:val="24"/>
          <w:szCs w:val="24"/>
        </w:rPr>
        <w:t>2023</w:t>
      </w:r>
      <w:r>
        <w:rPr>
          <w:rFonts w:cs="宋体" w:asciiTheme="minorEastAsia" w:hAnsiTheme="minorEastAsia"/>
          <w:color w:val="000000"/>
          <w:kern w:val="0"/>
          <w:sz w:val="24"/>
          <w:szCs w:val="24"/>
        </w:rPr>
        <w:t>年</w:t>
      </w:r>
    </w:p>
    <w:p w14:paraId="2B177011">
      <w:pPr>
        <w:widowControl/>
        <w:spacing w:line="400" w:lineRule="exact"/>
        <w:ind w:firstLine="480" w:firstLineChars="200"/>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工艺设备：</w:t>
      </w:r>
      <w:r>
        <w:rPr>
          <w:rFonts w:hint="eastAsia" w:cs="宋体" w:asciiTheme="minorEastAsia" w:hAnsiTheme="minorEastAsia"/>
          <w:color w:val="000000"/>
          <w:kern w:val="0"/>
          <w:sz w:val="24"/>
          <w:szCs w:val="24"/>
        </w:rPr>
        <w:t>熔炼炉、合金炉、浇铸线</w:t>
      </w:r>
    </w:p>
    <w:p w14:paraId="3D33096D">
      <w:pPr>
        <w:widowControl/>
        <w:spacing w:line="400" w:lineRule="exact"/>
        <w:ind w:firstLine="480" w:firstLineChars="200"/>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主要原料：电解铝</w:t>
      </w:r>
      <w:r>
        <w:rPr>
          <w:rFonts w:hint="eastAsia" w:cs="宋体" w:asciiTheme="minorEastAsia" w:hAnsiTheme="minorEastAsia"/>
          <w:color w:val="000000"/>
          <w:kern w:val="0"/>
          <w:sz w:val="24"/>
          <w:szCs w:val="24"/>
        </w:rPr>
        <w:t>、工业硅、镁锭</w:t>
      </w:r>
      <w:r>
        <w:rPr>
          <w:rFonts w:cs="宋体" w:asciiTheme="minorEastAsia" w:hAnsiTheme="minorEastAsia"/>
          <w:color w:val="000000"/>
          <w:kern w:val="0"/>
          <w:sz w:val="24"/>
          <w:szCs w:val="24"/>
        </w:rPr>
        <w:t>等</w:t>
      </w:r>
    </w:p>
    <w:p w14:paraId="69FD7ED9">
      <w:pPr>
        <w:widowControl/>
        <w:spacing w:line="400" w:lineRule="exact"/>
        <w:ind w:firstLine="480" w:firstLineChars="200"/>
        <w:jc w:val="left"/>
        <w:rPr>
          <w:rFonts w:hint="eastAsia" w:cs="宋体" w:asciiTheme="minorEastAsia" w:hAnsiTheme="minorEastAsia"/>
          <w:color w:val="000000"/>
          <w:kern w:val="0"/>
          <w:sz w:val="24"/>
          <w:szCs w:val="24"/>
        </w:rPr>
      </w:pPr>
      <w:r>
        <w:rPr>
          <w:rFonts w:cs="宋体" w:asciiTheme="minorEastAsia" w:hAnsiTheme="minorEastAsia"/>
          <w:color w:val="000000"/>
          <w:kern w:val="0"/>
          <w:sz w:val="24"/>
          <w:szCs w:val="24"/>
        </w:rPr>
        <w:t>主要能耗：</w:t>
      </w:r>
      <w:r>
        <w:rPr>
          <w:rFonts w:hint="eastAsia" w:cs="宋体" w:asciiTheme="minorEastAsia" w:hAnsiTheme="minorEastAsia"/>
          <w:color w:val="000000"/>
          <w:kern w:val="0"/>
          <w:sz w:val="24"/>
          <w:szCs w:val="24"/>
        </w:rPr>
        <w:t>天然气、</w:t>
      </w:r>
      <w:r>
        <w:rPr>
          <w:rFonts w:cs="宋体" w:asciiTheme="minorEastAsia" w:hAnsiTheme="minorEastAsia"/>
          <w:color w:val="000000"/>
          <w:kern w:val="0"/>
          <w:sz w:val="24"/>
          <w:szCs w:val="24"/>
        </w:rPr>
        <w:t>电力、</w:t>
      </w:r>
      <w:r>
        <w:rPr>
          <w:rFonts w:hint="eastAsia" w:cs="宋体" w:asciiTheme="minorEastAsia" w:hAnsiTheme="minorEastAsia"/>
          <w:color w:val="000000"/>
          <w:kern w:val="0"/>
          <w:sz w:val="24"/>
          <w:szCs w:val="24"/>
        </w:rPr>
        <w:t>柴油</w:t>
      </w:r>
      <w:r>
        <w:rPr>
          <w:rFonts w:cs="宋体" w:asciiTheme="minorEastAsia" w:hAnsiTheme="minorEastAsia"/>
          <w:color w:val="000000"/>
          <w:kern w:val="0"/>
          <w:sz w:val="24"/>
          <w:szCs w:val="24"/>
        </w:rPr>
        <w:t>等</w:t>
      </w:r>
    </w:p>
    <w:p w14:paraId="3CF84C62">
      <w:pPr>
        <w:widowControl/>
        <w:spacing w:line="400" w:lineRule="exact"/>
        <w:ind w:firstLine="480" w:firstLineChars="200"/>
        <w:jc w:val="left"/>
        <w:rPr>
          <w:rFonts w:hint="eastAsia" w:cs="宋体" w:asciiTheme="minorEastAsia" w:hAnsiTheme="minorEastAsia"/>
          <w:color w:val="000000"/>
          <w:kern w:val="0"/>
          <w:sz w:val="24"/>
          <w:szCs w:val="24"/>
        </w:rPr>
      </w:pPr>
      <w:r>
        <w:rPr>
          <w:rFonts w:hint="eastAsia" w:cs="宋体" w:asciiTheme="minorEastAsia" w:hAnsiTheme="minorEastAsia"/>
          <w:color w:val="000000"/>
          <w:kern w:val="0"/>
          <w:sz w:val="24"/>
          <w:szCs w:val="24"/>
        </w:rPr>
        <w:t>AC4C</w:t>
      </w:r>
      <w:r>
        <w:rPr>
          <w:rFonts w:cs="宋体" w:asciiTheme="minorEastAsia" w:hAnsiTheme="minorEastAsia"/>
          <w:color w:val="000000"/>
          <w:kern w:val="0"/>
          <w:sz w:val="24"/>
          <w:szCs w:val="24"/>
        </w:rPr>
        <w:t>铝</w:t>
      </w:r>
      <w:r>
        <w:rPr>
          <w:rFonts w:hint="eastAsia" w:cs="宋体" w:asciiTheme="minorEastAsia" w:hAnsiTheme="minorEastAsia"/>
          <w:color w:val="000000"/>
          <w:kern w:val="0"/>
          <w:sz w:val="24"/>
          <w:szCs w:val="24"/>
        </w:rPr>
        <w:t>合金</w:t>
      </w:r>
      <w:r>
        <w:rPr>
          <w:rFonts w:cs="宋体" w:asciiTheme="minorEastAsia" w:hAnsiTheme="minorEastAsia"/>
          <w:color w:val="000000"/>
          <w:kern w:val="0"/>
          <w:sz w:val="24"/>
          <w:szCs w:val="24"/>
        </w:rPr>
        <w:t>产品整个铝产业链全生命周期的清单数据主要通过对企业的现场调研获得，具体数据详见下面</w:t>
      </w:r>
      <w:r>
        <w:rPr>
          <w:rFonts w:hint="eastAsia" w:cs="宋体" w:asciiTheme="minorEastAsia" w:hAnsiTheme="minorEastAsia"/>
          <w:color w:val="000000"/>
          <w:kern w:val="0"/>
          <w:sz w:val="24"/>
          <w:szCs w:val="24"/>
        </w:rPr>
        <w:t>各</w:t>
      </w:r>
      <w:r>
        <w:rPr>
          <w:rFonts w:cs="宋体" w:asciiTheme="minorEastAsia" w:hAnsiTheme="minorEastAsia"/>
          <w:color w:val="000000"/>
          <w:kern w:val="0"/>
          <w:sz w:val="24"/>
          <w:szCs w:val="24"/>
        </w:rPr>
        <w:t>表所示。其中，数据的主要来源是公司的生产现场。通过计算，可以得出</w:t>
      </w:r>
      <w:r>
        <w:rPr>
          <w:rFonts w:hint="eastAsia" w:cs="宋体" w:asciiTheme="minorEastAsia" w:hAnsiTheme="minorEastAsia"/>
          <w:color w:val="000000"/>
          <w:kern w:val="0"/>
          <w:sz w:val="24"/>
          <w:szCs w:val="24"/>
        </w:rPr>
        <w:t>AC4C</w:t>
      </w:r>
      <w:r>
        <w:rPr>
          <w:rFonts w:cs="宋体" w:asciiTheme="minorEastAsia" w:hAnsiTheme="minorEastAsia"/>
          <w:color w:val="000000"/>
          <w:kern w:val="0"/>
          <w:sz w:val="24"/>
          <w:szCs w:val="24"/>
        </w:rPr>
        <w:t>铝</w:t>
      </w:r>
      <w:r>
        <w:rPr>
          <w:rFonts w:hint="eastAsia" w:cs="宋体" w:asciiTheme="minorEastAsia" w:hAnsiTheme="minorEastAsia"/>
          <w:color w:val="000000"/>
          <w:kern w:val="0"/>
          <w:sz w:val="24"/>
          <w:szCs w:val="24"/>
        </w:rPr>
        <w:t>合金</w:t>
      </w:r>
      <w:r>
        <w:rPr>
          <w:rFonts w:cs="宋体" w:asciiTheme="minorEastAsia" w:hAnsiTheme="minorEastAsia"/>
          <w:color w:val="000000"/>
          <w:kern w:val="0"/>
          <w:sz w:val="24"/>
          <w:szCs w:val="24"/>
        </w:rPr>
        <w:t>产品整个业链全生命周期清单数据。</w:t>
      </w:r>
    </w:p>
    <w:p w14:paraId="1C97279E">
      <w:pPr>
        <w:widowControl/>
        <w:spacing w:line="500" w:lineRule="exact"/>
        <w:ind w:firstLine="1800" w:firstLineChars="750"/>
        <w:jc w:val="left"/>
        <w:rPr>
          <w:rFonts w:hint="eastAsia" w:ascii="宋体" w:hAnsi="宋体" w:eastAsia="宋体" w:cs="宋体"/>
          <w:color w:val="000000"/>
          <w:kern w:val="0"/>
          <w:sz w:val="24"/>
          <w:szCs w:val="24"/>
        </w:rPr>
      </w:pPr>
      <w:r>
        <w:rPr>
          <w:rFonts w:hint="eastAsia" w:ascii="宋体" w:hAnsi="宋体" w:eastAsia="宋体" w:cs="宋体"/>
          <w:sz w:val="24"/>
          <w:szCs w:val="24"/>
        </w:rPr>
        <w:t xml:space="preserve">表1  </w:t>
      </w:r>
      <w:r>
        <w:rPr>
          <w:rFonts w:hint="eastAsia" w:ascii="宋体" w:hAnsi="宋体" w:eastAsia="宋体" w:cs="宋体"/>
          <w:color w:val="000000"/>
          <w:kern w:val="0"/>
          <w:sz w:val="24"/>
          <w:szCs w:val="24"/>
        </w:rPr>
        <w:t>AC4C</w:t>
      </w:r>
      <w:r>
        <w:rPr>
          <w:rFonts w:hint="eastAsia" w:ascii="宋体" w:hAnsi="宋体" w:eastAsia="宋体" w:cs="宋体"/>
          <w:sz w:val="24"/>
          <w:szCs w:val="24"/>
        </w:rPr>
        <w:t>铝锭原材料获取清单数据表</w:t>
      </w:r>
    </w:p>
    <w:tbl>
      <w:tblPr>
        <w:tblStyle w:val="11"/>
        <w:tblW w:w="4915"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38"/>
        <w:gridCol w:w="1975"/>
        <w:gridCol w:w="1241"/>
        <w:gridCol w:w="1049"/>
        <w:gridCol w:w="2769"/>
      </w:tblGrid>
      <w:tr w14:paraId="3E620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trPr>
        <w:tc>
          <w:tcPr>
            <w:tcW w:w="896" w:type="pct"/>
          </w:tcPr>
          <w:p w14:paraId="6DD78DF8">
            <w:pPr>
              <w:spacing w:before="156" w:beforeLines="50" w:line="360" w:lineRule="auto"/>
              <w:jc w:val="center"/>
              <w:rPr>
                <w:rFonts w:ascii="Times New Roman" w:hAnsi="Times New Roman" w:eastAsia="宋体" w:cs="Times New Roman"/>
                <w:b/>
                <w:bCs/>
                <w:color w:val="000000" w:themeColor="text1"/>
                <w:szCs w:val="21"/>
              </w:rPr>
            </w:pPr>
            <w:r>
              <w:rPr>
                <w:rFonts w:ascii="Times New Roman" w:hAnsi="Times New Roman" w:eastAsia="宋体" w:cs="Times New Roman"/>
                <w:b/>
                <w:bCs/>
                <w:color w:val="000000" w:themeColor="text1"/>
                <w:szCs w:val="21"/>
              </w:rPr>
              <w:t>类型</w:t>
            </w:r>
          </w:p>
        </w:tc>
        <w:tc>
          <w:tcPr>
            <w:tcW w:w="1151" w:type="pct"/>
          </w:tcPr>
          <w:p w14:paraId="016E5E6E">
            <w:pPr>
              <w:spacing w:before="156" w:beforeLines="50" w:line="360" w:lineRule="auto"/>
              <w:jc w:val="center"/>
              <w:rPr>
                <w:rFonts w:ascii="Times New Roman" w:hAnsi="Times New Roman" w:eastAsia="宋体" w:cs="Times New Roman"/>
                <w:b/>
                <w:bCs/>
                <w:color w:val="000000" w:themeColor="text1"/>
                <w:szCs w:val="21"/>
              </w:rPr>
            </w:pPr>
            <w:r>
              <w:rPr>
                <w:rFonts w:ascii="Times New Roman" w:hAnsi="Times New Roman" w:eastAsia="宋体" w:cs="Times New Roman"/>
                <w:b/>
                <w:bCs/>
                <w:color w:val="000000" w:themeColor="text1"/>
                <w:szCs w:val="21"/>
              </w:rPr>
              <w:t>清单名称</w:t>
            </w:r>
          </w:p>
        </w:tc>
        <w:tc>
          <w:tcPr>
            <w:tcW w:w="723" w:type="pct"/>
          </w:tcPr>
          <w:p w14:paraId="022954D7">
            <w:pPr>
              <w:spacing w:before="156" w:beforeLines="50" w:line="360" w:lineRule="auto"/>
              <w:jc w:val="center"/>
              <w:rPr>
                <w:rFonts w:ascii="Times New Roman" w:hAnsi="Times New Roman" w:eastAsia="宋体" w:cs="Times New Roman"/>
                <w:b/>
                <w:bCs/>
                <w:color w:val="000000" w:themeColor="text1"/>
                <w:szCs w:val="21"/>
              </w:rPr>
            </w:pPr>
            <w:r>
              <w:rPr>
                <w:rFonts w:ascii="Times New Roman" w:hAnsi="Times New Roman" w:eastAsia="宋体" w:cs="Times New Roman"/>
                <w:b/>
                <w:bCs/>
                <w:color w:val="000000" w:themeColor="text1"/>
                <w:szCs w:val="21"/>
              </w:rPr>
              <w:t>数量</w:t>
            </w:r>
          </w:p>
        </w:tc>
        <w:tc>
          <w:tcPr>
            <w:tcW w:w="612" w:type="pct"/>
          </w:tcPr>
          <w:p w14:paraId="06A87C66">
            <w:pPr>
              <w:spacing w:before="156" w:beforeLines="50" w:line="360" w:lineRule="auto"/>
              <w:jc w:val="center"/>
              <w:rPr>
                <w:rFonts w:ascii="Times New Roman" w:hAnsi="Times New Roman" w:eastAsia="宋体" w:cs="Times New Roman"/>
                <w:b/>
                <w:bCs/>
                <w:color w:val="000000" w:themeColor="text1"/>
                <w:szCs w:val="21"/>
              </w:rPr>
            </w:pPr>
            <w:r>
              <w:rPr>
                <w:rFonts w:ascii="Times New Roman" w:hAnsi="Times New Roman" w:eastAsia="宋体" w:cs="Times New Roman"/>
                <w:b/>
                <w:bCs/>
                <w:color w:val="000000" w:themeColor="text1"/>
                <w:szCs w:val="21"/>
              </w:rPr>
              <w:t>单位</w:t>
            </w:r>
          </w:p>
        </w:tc>
        <w:tc>
          <w:tcPr>
            <w:tcW w:w="1614" w:type="pct"/>
          </w:tcPr>
          <w:p w14:paraId="08B90E30">
            <w:pPr>
              <w:spacing w:before="156" w:beforeLines="50" w:line="360" w:lineRule="auto"/>
              <w:jc w:val="center"/>
              <w:rPr>
                <w:rFonts w:ascii="Times New Roman" w:hAnsi="Times New Roman" w:eastAsia="宋体" w:cs="Times New Roman"/>
                <w:b/>
                <w:bCs/>
                <w:color w:val="000000" w:themeColor="text1"/>
                <w:szCs w:val="21"/>
              </w:rPr>
            </w:pPr>
            <w:r>
              <w:rPr>
                <w:rFonts w:ascii="Times New Roman" w:hAnsi="Times New Roman" w:eastAsia="宋体" w:cs="Times New Roman"/>
                <w:b/>
                <w:bCs/>
                <w:color w:val="000000" w:themeColor="text1"/>
                <w:szCs w:val="21"/>
              </w:rPr>
              <w:t>数据来源</w:t>
            </w:r>
          </w:p>
        </w:tc>
      </w:tr>
      <w:tr w14:paraId="73950D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896" w:type="pct"/>
            <w:vAlign w:val="center"/>
          </w:tcPr>
          <w:p w14:paraId="5232C616">
            <w:pPr>
              <w:pStyle w:val="22"/>
              <w:spacing w:line="218" w:lineRule="auto"/>
              <w:jc w:val="center"/>
              <w:rPr>
                <w:rFonts w:hint="eastAsia" w:cs="Times New Roman" w:asciiTheme="minorEastAsia" w:hAnsiTheme="minorEastAsia" w:eastAsiaTheme="minorEastAsia"/>
                <w:b/>
                <w:bCs/>
                <w:color w:val="000000" w:themeColor="text1"/>
                <w:sz w:val="21"/>
                <w:szCs w:val="21"/>
              </w:rPr>
            </w:pPr>
            <w:r>
              <w:rPr>
                <w:rFonts w:cs="Times New Roman" w:asciiTheme="minorEastAsia" w:hAnsiTheme="minorEastAsia" w:eastAsiaTheme="minorEastAsia"/>
                <w:sz w:val="21"/>
                <w:szCs w:val="21"/>
              </w:rPr>
              <w:t>产品</w:t>
            </w:r>
          </w:p>
        </w:tc>
        <w:tc>
          <w:tcPr>
            <w:tcW w:w="1151" w:type="pct"/>
            <w:vAlign w:val="center"/>
          </w:tcPr>
          <w:p w14:paraId="00E61E66">
            <w:pPr>
              <w:pStyle w:val="22"/>
              <w:spacing w:line="218" w:lineRule="auto"/>
              <w:jc w:val="center"/>
              <w:rPr>
                <w:rFonts w:hint="eastAsia" w:cs="Times New Roman" w:asciiTheme="minorEastAsia" w:hAnsiTheme="minorEastAsia" w:eastAsiaTheme="minorEastAsia"/>
                <w:color w:val="000000" w:themeColor="text1"/>
                <w:sz w:val="21"/>
                <w:szCs w:val="21"/>
              </w:rPr>
            </w:pPr>
            <w:r>
              <w:rPr>
                <w:rFonts w:hint="eastAsia" w:asciiTheme="minorEastAsia" w:hAnsiTheme="minorEastAsia"/>
                <w:sz w:val="24"/>
                <w:szCs w:val="24"/>
              </w:rPr>
              <w:t>A</w:t>
            </w:r>
            <w:r>
              <w:rPr>
                <w:rFonts w:hint="eastAsia" w:asciiTheme="minorEastAsia" w:hAnsiTheme="minorEastAsia"/>
                <w:sz w:val="24"/>
                <w:szCs w:val="24"/>
                <w:lang w:eastAsia="zh-CN"/>
              </w:rPr>
              <w:t>C4C</w:t>
            </w:r>
            <w:r>
              <w:rPr>
                <w:rFonts w:hint="eastAsia" w:cs="Times New Roman" w:asciiTheme="minorEastAsia" w:hAnsiTheme="minorEastAsia" w:eastAsiaTheme="minorEastAsia"/>
                <w:color w:val="000000" w:themeColor="text1"/>
                <w:sz w:val="21"/>
                <w:szCs w:val="21"/>
              </w:rPr>
              <w:t>铝合金锭</w:t>
            </w:r>
          </w:p>
        </w:tc>
        <w:tc>
          <w:tcPr>
            <w:tcW w:w="723" w:type="pct"/>
            <w:vAlign w:val="center"/>
          </w:tcPr>
          <w:p w14:paraId="1728F1D2">
            <w:pPr>
              <w:pStyle w:val="22"/>
              <w:spacing w:line="218" w:lineRule="auto"/>
              <w:jc w:val="center"/>
              <w:rPr>
                <w:rFonts w:hint="eastAsia" w:cs="Times New Roman" w:asciiTheme="minorEastAsia" w:hAnsiTheme="minorEastAsia" w:eastAsiaTheme="minorEastAsia"/>
                <w:color w:val="000000" w:themeColor="text1"/>
                <w:sz w:val="21"/>
                <w:szCs w:val="21"/>
              </w:rPr>
            </w:pPr>
            <w:r>
              <w:rPr>
                <w:rFonts w:hint="eastAsia" w:cs="Times New Roman" w:asciiTheme="minorEastAsia" w:hAnsiTheme="minorEastAsia" w:eastAsiaTheme="minorEastAsia"/>
                <w:color w:val="000000" w:themeColor="text1"/>
                <w:sz w:val="21"/>
                <w:szCs w:val="21"/>
              </w:rPr>
              <w:t>1</w:t>
            </w:r>
          </w:p>
        </w:tc>
        <w:tc>
          <w:tcPr>
            <w:tcW w:w="612" w:type="pct"/>
            <w:vAlign w:val="center"/>
          </w:tcPr>
          <w:p w14:paraId="18D1B2B3">
            <w:pPr>
              <w:pStyle w:val="22"/>
              <w:spacing w:line="218" w:lineRule="auto"/>
              <w:jc w:val="center"/>
              <w:rPr>
                <w:rFonts w:hint="eastAsia" w:cs="Times New Roman" w:asciiTheme="minorEastAsia" w:hAnsiTheme="minorEastAsia" w:eastAsiaTheme="minorEastAsia"/>
                <w:color w:val="000000" w:themeColor="text1"/>
                <w:sz w:val="21"/>
                <w:szCs w:val="21"/>
              </w:rPr>
            </w:pPr>
            <w:r>
              <w:rPr>
                <w:rFonts w:hint="eastAsia" w:cs="Times New Roman" w:asciiTheme="minorEastAsia" w:hAnsiTheme="minorEastAsia" w:eastAsiaTheme="minorEastAsia"/>
                <w:color w:val="000000" w:themeColor="text1"/>
                <w:sz w:val="21"/>
                <w:szCs w:val="21"/>
              </w:rPr>
              <w:t>吨</w:t>
            </w:r>
          </w:p>
        </w:tc>
        <w:tc>
          <w:tcPr>
            <w:tcW w:w="1614" w:type="pct"/>
            <w:vAlign w:val="center"/>
          </w:tcPr>
          <w:p w14:paraId="3FC13EDA">
            <w:pPr>
              <w:pStyle w:val="22"/>
              <w:spacing w:line="218" w:lineRule="auto"/>
              <w:jc w:val="center"/>
              <w:rPr>
                <w:rFonts w:hint="eastAsia" w:asciiTheme="minorEastAsia" w:hAnsiTheme="minorEastAsia" w:eastAsiaTheme="minorEastAsia"/>
                <w:color w:val="auto"/>
                <w:sz w:val="21"/>
                <w:szCs w:val="21"/>
                <w:highlight w:val="yellow"/>
                <w:lang w:eastAsia="zh-CN"/>
              </w:rPr>
            </w:pPr>
            <w:r>
              <w:rPr>
                <w:rFonts w:hint="eastAsia" w:asciiTheme="minorEastAsia" w:hAnsiTheme="minorEastAsia" w:eastAsiaTheme="minorEastAsia"/>
                <w:color w:val="auto"/>
                <w:sz w:val="21"/>
                <w:szCs w:val="21"/>
                <w:lang w:eastAsia="zh-CN"/>
              </w:rPr>
              <w:t>广东隆达调研数据</w:t>
            </w:r>
          </w:p>
        </w:tc>
      </w:tr>
      <w:tr w14:paraId="5E47B0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896" w:type="pct"/>
            <w:vAlign w:val="center"/>
          </w:tcPr>
          <w:p w14:paraId="383E152F">
            <w:pPr>
              <w:pStyle w:val="22"/>
              <w:spacing w:line="218" w:lineRule="auto"/>
              <w:jc w:val="center"/>
              <w:rPr>
                <w:rFonts w:hint="eastAsia" w:cs="Times New Roman" w:asciiTheme="minorEastAsia" w:hAnsiTheme="minorEastAsia" w:eastAsiaTheme="minorEastAsia"/>
                <w:b/>
                <w:bCs/>
                <w:color w:val="000000" w:themeColor="text1"/>
                <w:sz w:val="21"/>
                <w:szCs w:val="21"/>
              </w:rPr>
            </w:pPr>
            <w:r>
              <w:rPr>
                <w:rFonts w:asciiTheme="minorEastAsia" w:hAnsiTheme="minorEastAsia" w:eastAsiaTheme="minorEastAsia"/>
                <w:color w:val="auto"/>
                <w:sz w:val="21"/>
                <w:szCs w:val="21"/>
                <w:lang w:eastAsia="zh-CN"/>
              </w:rPr>
              <w:t>消耗</w:t>
            </w:r>
          </w:p>
        </w:tc>
        <w:tc>
          <w:tcPr>
            <w:tcW w:w="1151" w:type="pct"/>
            <w:vAlign w:val="center"/>
          </w:tcPr>
          <w:p w14:paraId="40BF8504">
            <w:pPr>
              <w:pStyle w:val="22"/>
              <w:spacing w:line="218" w:lineRule="auto"/>
              <w:jc w:val="center"/>
              <w:rPr>
                <w:rFonts w:hint="eastAsia" w:cs="Times New Roman" w:asciiTheme="minorEastAsia" w:hAnsiTheme="minorEastAsia" w:eastAsiaTheme="minorEastAsia"/>
                <w:color w:val="000000" w:themeColor="text1"/>
                <w:sz w:val="21"/>
                <w:szCs w:val="21"/>
              </w:rPr>
            </w:pPr>
            <w:r>
              <w:rPr>
                <w:rFonts w:hint="eastAsia" w:asciiTheme="minorEastAsia" w:hAnsiTheme="minorEastAsia" w:eastAsiaTheme="minorEastAsia"/>
                <w:color w:val="auto"/>
                <w:sz w:val="21"/>
                <w:szCs w:val="21"/>
                <w:lang w:eastAsia="zh-CN"/>
              </w:rPr>
              <w:t>电解铝锭</w:t>
            </w:r>
          </w:p>
        </w:tc>
        <w:tc>
          <w:tcPr>
            <w:tcW w:w="723" w:type="pct"/>
            <w:vAlign w:val="center"/>
          </w:tcPr>
          <w:p w14:paraId="0E5EB53C">
            <w:pPr>
              <w:pStyle w:val="22"/>
              <w:spacing w:line="218" w:lineRule="auto"/>
              <w:jc w:val="center"/>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eastAsia="zh-CN"/>
              </w:rPr>
              <w:t>0.9180t</w:t>
            </w:r>
          </w:p>
        </w:tc>
        <w:tc>
          <w:tcPr>
            <w:tcW w:w="612" w:type="pct"/>
            <w:vAlign w:val="center"/>
          </w:tcPr>
          <w:p w14:paraId="625B7CE9">
            <w:pPr>
              <w:pStyle w:val="22"/>
              <w:spacing w:line="218" w:lineRule="auto"/>
              <w:jc w:val="center"/>
              <w:rPr>
                <w:rFonts w:hint="eastAsia" w:cs="Times New Roman" w:asciiTheme="minorEastAsia" w:hAnsiTheme="minorEastAsia" w:eastAsiaTheme="minorEastAsia"/>
                <w:color w:val="000000" w:themeColor="text1"/>
                <w:sz w:val="21"/>
                <w:szCs w:val="21"/>
              </w:rPr>
            </w:pPr>
            <w:r>
              <w:rPr>
                <w:rFonts w:hint="eastAsia" w:cs="Times New Roman" w:asciiTheme="minorEastAsia" w:hAnsiTheme="minorEastAsia" w:eastAsiaTheme="minorEastAsia"/>
                <w:color w:val="000000" w:themeColor="text1"/>
                <w:sz w:val="21"/>
                <w:szCs w:val="21"/>
              </w:rPr>
              <w:t>吨</w:t>
            </w:r>
          </w:p>
        </w:tc>
        <w:tc>
          <w:tcPr>
            <w:tcW w:w="1614" w:type="pct"/>
            <w:vAlign w:val="center"/>
          </w:tcPr>
          <w:p w14:paraId="6AD3E6BC">
            <w:pPr>
              <w:pStyle w:val="22"/>
              <w:spacing w:line="218" w:lineRule="auto"/>
              <w:jc w:val="center"/>
              <w:rPr>
                <w:rFonts w:hint="eastAsia" w:asciiTheme="minorEastAsia" w:hAnsiTheme="minorEastAsia" w:eastAsiaTheme="minorEastAsia"/>
                <w:spacing w:val="-3"/>
                <w:sz w:val="21"/>
                <w:szCs w:val="21"/>
                <w:highlight w:val="yellow"/>
              </w:rPr>
            </w:pPr>
            <w:r>
              <w:rPr>
                <w:rFonts w:hint="eastAsia" w:asciiTheme="minorEastAsia" w:hAnsiTheme="minorEastAsia" w:eastAsiaTheme="minorEastAsia"/>
                <w:color w:val="auto"/>
                <w:sz w:val="21"/>
                <w:szCs w:val="21"/>
                <w:lang w:eastAsia="zh-CN"/>
              </w:rPr>
              <w:t>广东隆达调研数据</w:t>
            </w:r>
          </w:p>
        </w:tc>
      </w:tr>
      <w:tr w14:paraId="78D50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896" w:type="pct"/>
            <w:vAlign w:val="center"/>
          </w:tcPr>
          <w:p w14:paraId="7F43A3D5">
            <w:pPr>
              <w:pStyle w:val="22"/>
              <w:spacing w:line="218" w:lineRule="auto"/>
              <w:jc w:val="center"/>
              <w:rPr>
                <w:rFonts w:hint="eastAsia" w:cs="Times New Roman" w:asciiTheme="minorEastAsia" w:hAnsiTheme="minorEastAsia" w:eastAsiaTheme="minorEastAsia"/>
                <w:b/>
                <w:bCs/>
                <w:color w:val="000000" w:themeColor="text1"/>
                <w:sz w:val="21"/>
                <w:szCs w:val="21"/>
              </w:rPr>
            </w:pPr>
            <w:r>
              <w:rPr>
                <w:rFonts w:cs="Times New Roman" w:asciiTheme="minorEastAsia" w:hAnsiTheme="minorEastAsia" w:eastAsiaTheme="minorEastAsia"/>
                <w:sz w:val="21"/>
                <w:szCs w:val="21"/>
              </w:rPr>
              <w:t>消耗</w:t>
            </w:r>
          </w:p>
        </w:tc>
        <w:tc>
          <w:tcPr>
            <w:tcW w:w="1151" w:type="pct"/>
            <w:vAlign w:val="center"/>
          </w:tcPr>
          <w:p w14:paraId="60F11A1D">
            <w:pPr>
              <w:pStyle w:val="22"/>
              <w:spacing w:line="218" w:lineRule="auto"/>
              <w:jc w:val="center"/>
              <w:rPr>
                <w:rFonts w:hint="eastAsia" w:cs="Times New Roman" w:asciiTheme="minorEastAsia" w:hAnsiTheme="minorEastAsia" w:eastAsiaTheme="minorEastAsia"/>
                <w:color w:val="000000" w:themeColor="text1"/>
                <w:sz w:val="21"/>
                <w:szCs w:val="21"/>
              </w:rPr>
            </w:pPr>
            <w:r>
              <w:rPr>
                <w:rFonts w:hint="eastAsia" w:asciiTheme="minorEastAsia" w:hAnsiTheme="minorEastAsia" w:eastAsiaTheme="minorEastAsia"/>
                <w:color w:val="auto"/>
                <w:sz w:val="21"/>
                <w:szCs w:val="21"/>
                <w:lang w:eastAsia="zh-CN"/>
              </w:rPr>
              <w:t>工业硅</w:t>
            </w:r>
          </w:p>
        </w:tc>
        <w:tc>
          <w:tcPr>
            <w:tcW w:w="723" w:type="pct"/>
            <w:vAlign w:val="center"/>
          </w:tcPr>
          <w:p w14:paraId="1C83AE91">
            <w:pPr>
              <w:pStyle w:val="22"/>
              <w:spacing w:line="218" w:lineRule="auto"/>
              <w:jc w:val="center"/>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eastAsia="zh-CN"/>
              </w:rPr>
              <w:t>0.0703t</w:t>
            </w:r>
          </w:p>
        </w:tc>
        <w:tc>
          <w:tcPr>
            <w:tcW w:w="612" w:type="pct"/>
            <w:vAlign w:val="center"/>
          </w:tcPr>
          <w:p w14:paraId="02CCB6F6">
            <w:pPr>
              <w:pStyle w:val="22"/>
              <w:spacing w:line="218" w:lineRule="auto"/>
              <w:jc w:val="center"/>
              <w:rPr>
                <w:rFonts w:hint="eastAsia" w:cs="Times New Roman" w:asciiTheme="minorEastAsia" w:hAnsiTheme="minorEastAsia" w:eastAsiaTheme="minorEastAsia"/>
                <w:color w:val="000000" w:themeColor="text1"/>
                <w:sz w:val="21"/>
                <w:szCs w:val="21"/>
              </w:rPr>
            </w:pPr>
            <w:r>
              <w:rPr>
                <w:rFonts w:hint="eastAsia" w:cs="Times New Roman" w:asciiTheme="minorEastAsia" w:hAnsiTheme="minorEastAsia" w:eastAsiaTheme="minorEastAsia"/>
                <w:color w:val="000000" w:themeColor="text1"/>
                <w:sz w:val="21"/>
                <w:szCs w:val="21"/>
              </w:rPr>
              <w:t>吨</w:t>
            </w:r>
          </w:p>
        </w:tc>
        <w:tc>
          <w:tcPr>
            <w:tcW w:w="1614" w:type="pct"/>
            <w:vAlign w:val="center"/>
          </w:tcPr>
          <w:p w14:paraId="0293BD62">
            <w:pPr>
              <w:pStyle w:val="22"/>
              <w:spacing w:line="218" w:lineRule="auto"/>
              <w:ind w:firstLine="420" w:firstLineChars="200"/>
              <w:rPr>
                <w:rFonts w:hint="eastAsia" w:asciiTheme="minorEastAsia" w:hAnsiTheme="minorEastAsia" w:eastAsiaTheme="minorEastAsia"/>
                <w:spacing w:val="-3"/>
                <w:sz w:val="21"/>
                <w:szCs w:val="21"/>
                <w:highlight w:val="yellow"/>
              </w:rPr>
            </w:pPr>
            <w:r>
              <w:rPr>
                <w:rFonts w:hint="eastAsia" w:asciiTheme="minorEastAsia" w:hAnsiTheme="minorEastAsia" w:eastAsiaTheme="minorEastAsia"/>
                <w:color w:val="auto"/>
                <w:sz w:val="21"/>
                <w:szCs w:val="21"/>
                <w:lang w:eastAsia="zh-CN"/>
              </w:rPr>
              <w:t>广东隆达调研数据</w:t>
            </w:r>
          </w:p>
        </w:tc>
      </w:tr>
      <w:tr w14:paraId="06750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rPr>
        <w:tc>
          <w:tcPr>
            <w:tcW w:w="896" w:type="pct"/>
            <w:vAlign w:val="center"/>
          </w:tcPr>
          <w:p w14:paraId="2062A242">
            <w:pPr>
              <w:pStyle w:val="22"/>
              <w:spacing w:line="218" w:lineRule="auto"/>
              <w:jc w:val="center"/>
              <w:rPr>
                <w:rFonts w:hint="eastAsia" w:cs="Times New Roman" w:asciiTheme="minorEastAsia" w:hAnsiTheme="minorEastAsia" w:eastAsiaTheme="minorEastAsia"/>
                <w:b/>
                <w:bCs/>
                <w:color w:val="000000" w:themeColor="text1"/>
                <w:sz w:val="21"/>
                <w:szCs w:val="21"/>
              </w:rPr>
            </w:pPr>
            <w:r>
              <w:rPr>
                <w:rFonts w:cs="Times New Roman" w:asciiTheme="minorEastAsia" w:hAnsiTheme="minorEastAsia" w:eastAsiaTheme="minorEastAsia"/>
                <w:sz w:val="21"/>
                <w:szCs w:val="21"/>
              </w:rPr>
              <w:t>消耗</w:t>
            </w:r>
          </w:p>
        </w:tc>
        <w:tc>
          <w:tcPr>
            <w:tcW w:w="1151" w:type="pct"/>
            <w:vAlign w:val="center"/>
          </w:tcPr>
          <w:p w14:paraId="02F7779A">
            <w:pPr>
              <w:pStyle w:val="22"/>
              <w:spacing w:line="218" w:lineRule="auto"/>
              <w:jc w:val="center"/>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eastAsia="zh-CN"/>
              </w:rPr>
              <w:t>镁锭</w:t>
            </w:r>
          </w:p>
        </w:tc>
        <w:tc>
          <w:tcPr>
            <w:tcW w:w="723" w:type="pct"/>
            <w:vAlign w:val="center"/>
          </w:tcPr>
          <w:p w14:paraId="6AB3F635">
            <w:pPr>
              <w:pStyle w:val="22"/>
              <w:spacing w:line="218" w:lineRule="auto"/>
              <w:jc w:val="center"/>
              <w:rPr>
                <w:rFonts w:hint="eastAsia" w:asciiTheme="minorEastAsia" w:hAnsiTheme="minorEastAsia" w:eastAsiaTheme="minorEastAsia"/>
                <w:color w:val="auto"/>
                <w:sz w:val="21"/>
                <w:szCs w:val="21"/>
                <w:lang w:eastAsia="zh-CN"/>
              </w:rPr>
            </w:pPr>
            <w:r>
              <w:rPr>
                <w:rFonts w:hint="eastAsia" w:asciiTheme="minorEastAsia" w:hAnsiTheme="minorEastAsia" w:eastAsiaTheme="minorEastAsia"/>
                <w:color w:val="auto"/>
                <w:sz w:val="21"/>
                <w:szCs w:val="21"/>
                <w:lang w:eastAsia="zh-CN"/>
              </w:rPr>
              <w:t>0.0045t</w:t>
            </w:r>
          </w:p>
        </w:tc>
        <w:tc>
          <w:tcPr>
            <w:tcW w:w="612" w:type="pct"/>
            <w:vAlign w:val="center"/>
          </w:tcPr>
          <w:p w14:paraId="14F92FFE">
            <w:pPr>
              <w:pStyle w:val="22"/>
              <w:spacing w:line="218" w:lineRule="auto"/>
              <w:jc w:val="center"/>
              <w:rPr>
                <w:rFonts w:hint="eastAsia" w:cs="Times New Roman" w:asciiTheme="minorEastAsia" w:hAnsiTheme="minorEastAsia" w:eastAsiaTheme="minorEastAsia"/>
                <w:color w:val="000000" w:themeColor="text1"/>
                <w:sz w:val="21"/>
                <w:szCs w:val="21"/>
              </w:rPr>
            </w:pPr>
            <w:r>
              <w:rPr>
                <w:rFonts w:hint="eastAsia" w:cs="Times New Roman" w:asciiTheme="minorEastAsia" w:hAnsiTheme="minorEastAsia" w:eastAsiaTheme="minorEastAsia"/>
                <w:color w:val="000000" w:themeColor="text1"/>
                <w:sz w:val="21"/>
                <w:szCs w:val="21"/>
              </w:rPr>
              <w:t>吨</w:t>
            </w:r>
          </w:p>
        </w:tc>
        <w:tc>
          <w:tcPr>
            <w:tcW w:w="1614" w:type="pct"/>
            <w:vAlign w:val="center"/>
          </w:tcPr>
          <w:p w14:paraId="36B2DA7F">
            <w:pPr>
              <w:pStyle w:val="22"/>
              <w:spacing w:line="218" w:lineRule="auto"/>
              <w:jc w:val="center"/>
              <w:rPr>
                <w:rFonts w:hint="eastAsia" w:asciiTheme="minorEastAsia" w:hAnsiTheme="minorEastAsia" w:eastAsiaTheme="minorEastAsia"/>
                <w:spacing w:val="-3"/>
                <w:sz w:val="21"/>
                <w:szCs w:val="21"/>
                <w:highlight w:val="yellow"/>
              </w:rPr>
            </w:pPr>
            <w:r>
              <w:rPr>
                <w:rFonts w:hint="eastAsia" w:asciiTheme="minorEastAsia" w:hAnsiTheme="minorEastAsia" w:eastAsiaTheme="minorEastAsia"/>
                <w:color w:val="auto"/>
                <w:sz w:val="21"/>
                <w:szCs w:val="21"/>
                <w:lang w:eastAsia="zh-CN"/>
              </w:rPr>
              <w:t>广东隆达调研数据</w:t>
            </w:r>
          </w:p>
        </w:tc>
      </w:tr>
    </w:tbl>
    <w:p w14:paraId="53CB9828">
      <w:pPr>
        <w:spacing w:before="156" w:beforeLines="50" w:line="360" w:lineRule="auto"/>
        <w:ind w:firstLine="1920" w:firstLineChars="800"/>
        <w:rPr>
          <w:rFonts w:hint="eastAsia" w:ascii="宋体" w:hAnsi="宋体" w:eastAsia="宋体" w:cs="宋体"/>
          <w:sz w:val="24"/>
          <w:szCs w:val="24"/>
        </w:rPr>
      </w:pPr>
      <w:r>
        <w:rPr>
          <w:rFonts w:hint="eastAsia" w:ascii="宋体" w:hAnsi="宋体" w:eastAsia="宋体" w:cs="宋体"/>
          <w:sz w:val="24"/>
          <w:szCs w:val="24"/>
        </w:rPr>
        <w:t>表2  原料运输信息表</w:t>
      </w:r>
    </w:p>
    <w:tbl>
      <w:tblPr>
        <w:tblStyle w:val="11"/>
        <w:tblW w:w="83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1"/>
        <w:gridCol w:w="2268"/>
        <w:gridCol w:w="2410"/>
        <w:gridCol w:w="1701"/>
      </w:tblGrid>
      <w:tr w14:paraId="4FF0D1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14:paraId="4499177D">
            <w:pPr>
              <w:spacing w:before="156" w:beforeLines="50" w:line="360" w:lineRule="auto"/>
              <w:jc w:val="center"/>
              <w:rPr>
                <w:b/>
                <w:kern w:val="0"/>
                <w:szCs w:val="21"/>
              </w:rPr>
            </w:pPr>
            <w:r>
              <w:rPr>
                <w:rFonts w:ascii="Times New Roman" w:hAnsi="Times New Roman"/>
                <w:b/>
                <w:szCs w:val="21"/>
              </w:rPr>
              <w:t>物料名称</w:t>
            </w:r>
          </w:p>
        </w:tc>
        <w:tc>
          <w:tcPr>
            <w:tcW w:w="2268" w:type="dxa"/>
          </w:tcPr>
          <w:p w14:paraId="4026F1E6">
            <w:pPr>
              <w:spacing w:before="156" w:beforeLines="50"/>
              <w:jc w:val="center"/>
              <w:rPr>
                <w:b/>
                <w:kern w:val="0"/>
                <w:szCs w:val="21"/>
              </w:rPr>
            </w:pPr>
            <w:r>
              <w:rPr>
                <w:rFonts w:hint="eastAsia"/>
                <w:b/>
                <w:kern w:val="0"/>
                <w:szCs w:val="21"/>
              </w:rPr>
              <w:t>单位产品上的原料使用量（kg/吨）</w:t>
            </w:r>
          </w:p>
        </w:tc>
        <w:tc>
          <w:tcPr>
            <w:tcW w:w="2410" w:type="dxa"/>
          </w:tcPr>
          <w:p w14:paraId="311AD614">
            <w:pPr>
              <w:spacing w:before="156" w:beforeLines="50"/>
              <w:jc w:val="center"/>
              <w:rPr>
                <w:b/>
                <w:kern w:val="0"/>
                <w:szCs w:val="21"/>
              </w:rPr>
            </w:pPr>
            <w:r>
              <w:rPr>
                <w:b/>
                <w:kern w:val="0"/>
                <w:szCs w:val="21"/>
              </w:rPr>
              <w:t>tkm</w:t>
            </w:r>
            <w:r>
              <w:rPr>
                <w:rFonts w:hint="eastAsia"/>
                <w:b/>
                <w:kern w:val="0"/>
                <w:szCs w:val="21"/>
              </w:rPr>
              <w:t>(运输的活动数据)</w:t>
            </w:r>
          </w:p>
        </w:tc>
        <w:tc>
          <w:tcPr>
            <w:tcW w:w="1701" w:type="dxa"/>
          </w:tcPr>
          <w:p w14:paraId="6D9388B7">
            <w:pPr>
              <w:spacing w:before="156" w:beforeLines="50"/>
              <w:jc w:val="center"/>
              <w:rPr>
                <w:rFonts w:ascii="Times New Roman" w:hAnsi="Times New Roman"/>
                <w:b/>
                <w:szCs w:val="21"/>
              </w:rPr>
            </w:pPr>
            <w:r>
              <w:rPr>
                <w:rFonts w:ascii="Times New Roman" w:hAnsi="Times New Roman"/>
                <w:b/>
                <w:szCs w:val="21"/>
              </w:rPr>
              <w:t>运输类型</w:t>
            </w:r>
          </w:p>
        </w:tc>
      </w:tr>
      <w:tr w14:paraId="0CBB4A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51" w:type="dxa"/>
            <w:vAlign w:val="center"/>
          </w:tcPr>
          <w:p w14:paraId="649AB537">
            <w:pPr>
              <w:pStyle w:val="22"/>
              <w:spacing w:line="218" w:lineRule="auto"/>
              <w:jc w:val="center"/>
              <w:rPr>
                <w:rFonts w:hint="eastAsia"/>
                <w:color w:val="auto"/>
                <w:lang w:eastAsia="zh-CN"/>
              </w:rPr>
            </w:pPr>
            <w:r>
              <w:rPr>
                <w:rFonts w:hint="eastAsia" w:asciiTheme="minorEastAsia" w:hAnsiTheme="minorEastAsia" w:eastAsiaTheme="minorEastAsia"/>
                <w:color w:val="auto"/>
                <w:sz w:val="21"/>
                <w:szCs w:val="21"/>
                <w:lang w:eastAsia="zh-CN"/>
              </w:rPr>
              <w:t>电解铝锭</w:t>
            </w:r>
          </w:p>
        </w:tc>
        <w:tc>
          <w:tcPr>
            <w:tcW w:w="2268" w:type="dxa"/>
            <w:vAlign w:val="center"/>
          </w:tcPr>
          <w:p w14:paraId="1E26DFF1">
            <w:pPr>
              <w:pStyle w:val="22"/>
              <w:spacing w:line="218" w:lineRule="auto"/>
              <w:jc w:val="center"/>
              <w:rPr>
                <w:rFonts w:hint="eastAsia"/>
                <w:color w:val="auto"/>
                <w:sz w:val="21"/>
                <w:szCs w:val="21"/>
                <w:lang w:eastAsia="zh-CN"/>
              </w:rPr>
            </w:pPr>
            <w:r>
              <w:rPr>
                <w:rFonts w:hint="eastAsia"/>
                <w:sz w:val="21"/>
                <w:szCs w:val="21"/>
                <w:lang w:eastAsia="zh-CN"/>
              </w:rPr>
              <w:t>918.0000</w:t>
            </w:r>
          </w:p>
        </w:tc>
        <w:tc>
          <w:tcPr>
            <w:tcW w:w="2410" w:type="dxa"/>
            <w:vAlign w:val="center"/>
          </w:tcPr>
          <w:p w14:paraId="5469D5AD">
            <w:pPr>
              <w:pStyle w:val="22"/>
              <w:spacing w:line="218" w:lineRule="auto"/>
              <w:jc w:val="center"/>
              <w:rPr>
                <w:rFonts w:hint="eastAsia"/>
                <w:color w:val="auto"/>
                <w:sz w:val="21"/>
                <w:szCs w:val="21"/>
                <w:lang w:eastAsia="zh-CN"/>
              </w:rPr>
            </w:pPr>
            <w:r>
              <w:rPr>
                <w:rFonts w:hint="eastAsia"/>
                <w:sz w:val="21"/>
                <w:szCs w:val="21"/>
                <w:lang w:eastAsia="zh-CN"/>
              </w:rPr>
              <w:t>0.0690</w:t>
            </w:r>
          </w:p>
        </w:tc>
        <w:tc>
          <w:tcPr>
            <w:tcW w:w="1701" w:type="dxa"/>
            <w:vAlign w:val="center"/>
          </w:tcPr>
          <w:p w14:paraId="7B371F5E">
            <w:pPr>
              <w:pStyle w:val="22"/>
              <w:spacing w:line="218" w:lineRule="auto"/>
              <w:jc w:val="center"/>
              <w:rPr>
                <w:rFonts w:hint="eastAsia"/>
                <w:bCs/>
                <w:color w:val="auto"/>
                <w:lang w:eastAsia="zh-CN"/>
              </w:rPr>
            </w:pPr>
            <w:r>
              <w:rPr>
                <w:rFonts w:hint="eastAsia" w:ascii="Times New Roman" w:hAnsi="Times New Roman"/>
                <w:bCs/>
                <w:sz w:val="21"/>
                <w:szCs w:val="21"/>
                <w:lang w:eastAsia="zh-CN"/>
              </w:rPr>
              <w:t>重型货车</w:t>
            </w:r>
          </w:p>
        </w:tc>
      </w:tr>
      <w:tr w14:paraId="0B866E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51" w:type="dxa"/>
            <w:vAlign w:val="center"/>
          </w:tcPr>
          <w:p w14:paraId="0837BC47">
            <w:pPr>
              <w:pStyle w:val="22"/>
              <w:spacing w:line="218" w:lineRule="auto"/>
              <w:jc w:val="center"/>
              <w:rPr>
                <w:rFonts w:hint="eastAsia"/>
                <w:color w:val="auto"/>
                <w:lang w:eastAsia="zh-CN"/>
              </w:rPr>
            </w:pPr>
            <w:r>
              <w:rPr>
                <w:rFonts w:hint="eastAsia" w:asciiTheme="minorEastAsia" w:hAnsiTheme="minorEastAsia" w:eastAsiaTheme="minorEastAsia"/>
                <w:color w:val="auto"/>
                <w:sz w:val="21"/>
                <w:szCs w:val="21"/>
                <w:lang w:eastAsia="zh-CN"/>
              </w:rPr>
              <w:t>工业硅</w:t>
            </w:r>
          </w:p>
        </w:tc>
        <w:tc>
          <w:tcPr>
            <w:tcW w:w="2268" w:type="dxa"/>
            <w:vAlign w:val="center"/>
          </w:tcPr>
          <w:p w14:paraId="5D3E9B66">
            <w:pPr>
              <w:pStyle w:val="22"/>
              <w:spacing w:line="218" w:lineRule="auto"/>
              <w:jc w:val="center"/>
              <w:rPr>
                <w:rFonts w:hint="eastAsia"/>
                <w:color w:val="auto"/>
                <w:sz w:val="21"/>
                <w:szCs w:val="21"/>
                <w:lang w:eastAsia="zh-CN"/>
              </w:rPr>
            </w:pPr>
            <w:r>
              <w:rPr>
                <w:rFonts w:hint="eastAsia"/>
                <w:sz w:val="21"/>
                <w:szCs w:val="21"/>
                <w:lang w:eastAsia="zh-CN"/>
              </w:rPr>
              <w:t>70.3200</w:t>
            </w:r>
          </w:p>
        </w:tc>
        <w:tc>
          <w:tcPr>
            <w:tcW w:w="2410" w:type="dxa"/>
            <w:vAlign w:val="center"/>
          </w:tcPr>
          <w:p w14:paraId="45DC8D51">
            <w:pPr>
              <w:pStyle w:val="22"/>
              <w:spacing w:line="218" w:lineRule="auto"/>
              <w:jc w:val="center"/>
              <w:rPr>
                <w:rFonts w:hint="eastAsia"/>
                <w:color w:val="auto"/>
                <w:sz w:val="21"/>
                <w:szCs w:val="21"/>
                <w:lang w:eastAsia="zh-CN"/>
              </w:rPr>
            </w:pPr>
            <w:r>
              <w:rPr>
                <w:rFonts w:hint="eastAsia"/>
                <w:sz w:val="21"/>
                <w:szCs w:val="21"/>
                <w:lang w:eastAsia="zh-CN"/>
              </w:rPr>
              <w:t>0.2162</w:t>
            </w:r>
          </w:p>
        </w:tc>
        <w:tc>
          <w:tcPr>
            <w:tcW w:w="1701" w:type="dxa"/>
            <w:vAlign w:val="center"/>
          </w:tcPr>
          <w:p w14:paraId="39264088">
            <w:pPr>
              <w:pStyle w:val="22"/>
              <w:spacing w:line="218" w:lineRule="auto"/>
              <w:jc w:val="center"/>
              <w:rPr>
                <w:rFonts w:hint="eastAsia"/>
                <w:bCs/>
                <w:color w:val="auto"/>
                <w:lang w:eastAsia="zh-CN"/>
              </w:rPr>
            </w:pPr>
            <w:r>
              <w:rPr>
                <w:rFonts w:hint="eastAsia" w:ascii="Times New Roman" w:hAnsi="Times New Roman"/>
                <w:bCs/>
                <w:sz w:val="21"/>
                <w:szCs w:val="21"/>
                <w:lang w:eastAsia="zh-CN"/>
              </w:rPr>
              <w:t>重型货车</w:t>
            </w:r>
          </w:p>
        </w:tc>
      </w:tr>
      <w:tr w14:paraId="0C146A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51" w:type="dxa"/>
            <w:vAlign w:val="center"/>
          </w:tcPr>
          <w:p w14:paraId="3F500749">
            <w:pPr>
              <w:pStyle w:val="22"/>
              <w:spacing w:line="218" w:lineRule="auto"/>
              <w:jc w:val="center"/>
              <w:rPr>
                <w:rFonts w:ascii="Times New Roman" w:hAnsi="Times New Roman"/>
                <w:sz w:val="21"/>
                <w:szCs w:val="21"/>
              </w:rPr>
            </w:pPr>
            <w:r>
              <w:rPr>
                <w:rFonts w:hint="eastAsia" w:asciiTheme="minorEastAsia" w:hAnsiTheme="minorEastAsia" w:eastAsiaTheme="minorEastAsia"/>
                <w:color w:val="auto"/>
                <w:sz w:val="21"/>
                <w:szCs w:val="21"/>
                <w:lang w:eastAsia="zh-CN"/>
              </w:rPr>
              <w:t>镁锭</w:t>
            </w:r>
          </w:p>
        </w:tc>
        <w:tc>
          <w:tcPr>
            <w:tcW w:w="2268" w:type="dxa"/>
            <w:vAlign w:val="center"/>
          </w:tcPr>
          <w:p w14:paraId="7C3456B4">
            <w:pPr>
              <w:pStyle w:val="22"/>
              <w:spacing w:line="218" w:lineRule="auto"/>
              <w:jc w:val="center"/>
              <w:rPr>
                <w:rFonts w:hint="eastAsia"/>
                <w:sz w:val="21"/>
                <w:szCs w:val="21"/>
                <w:lang w:eastAsia="zh-CN"/>
              </w:rPr>
            </w:pPr>
            <w:r>
              <w:rPr>
                <w:rFonts w:hint="eastAsia"/>
                <w:sz w:val="21"/>
                <w:szCs w:val="21"/>
                <w:lang w:eastAsia="zh-CN"/>
              </w:rPr>
              <w:t>4.4700</w:t>
            </w:r>
          </w:p>
        </w:tc>
        <w:tc>
          <w:tcPr>
            <w:tcW w:w="2410" w:type="dxa"/>
            <w:vAlign w:val="center"/>
          </w:tcPr>
          <w:p w14:paraId="7EEF39C3">
            <w:pPr>
              <w:pStyle w:val="22"/>
              <w:spacing w:line="218" w:lineRule="auto"/>
              <w:jc w:val="center"/>
              <w:rPr>
                <w:rFonts w:hint="eastAsia"/>
                <w:sz w:val="21"/>
                <w:szCs w:val="21"/>
                <w:lang w:eastAsia="zh-CN"/>
              </w:rPr>
            </w:pPr>
            <w:r>
              <w:rPr>
                <w:rFonts w:hint="eastAsia"/>
                <w:sz w:val="21"/>
                <w:szCs w:val="21"/>
                <w:lang w:eastAsia="zh-CN"/>
              </w:rPr>
              <w:t>0.0062</w:t>
            </w:r>
          </w:p>
        </w:tc>
        <w:tc>
          <w:tcPr>
            <w:tcW w:w="1701" w:type="dxa"/>
            <w:vAlign w:val="center"/>
          </w:tcPr>
          <w:p w14:paraId="3A87F024">
            <w:pPr>
              <w:pStyle w:val="22"/>
              <w:spacing w:line="218" w:lineRule="auto"/>
              <w:jc w:val="center"/>
              <w:rPr>
                <w:rFonts w:hint="eastAsia"/>
                <w:bCs/>
                <w:color w:val="auto"/>
                <w:lang w:eastAsia="zh-CN"/>
              </w:rPr>
            </w:pPr>
            <w:r>
              <w:rPr>
                <w:rFonts w:hint="eastAsia" w:ascii="Times New Roman" w:hAnsi="Times New Roman"/>
                <w:bCs/>
                <w:sz w:val="21"/>
                <w:szCs w:val="21"/>
                <w:lang w:eastAsia="zh-CN"/>
              </w:rPr>
              <w:t>重型货车</w:t>
            </w:r>
          </w:p>
        </w:tc>
      </w:tr>
      <w:tr w14:paraId="02E47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951" w:type="dxa"/>
            <w:vAlign w:val="center"/>
          </w:tcPr>
          <w:p w14:paraId="06380753">
            <w:pPr>
              <w:pStyle w:val="22"/>
              <w:spacing w:line="218" w:lineRule="auto"/>
              <w:jc w:val="center"/>
              <w:rPr>
                <w:rFonts w:ascii="Times New Roman" w:hAnsi="Times New Roman"/>
                <w:sz w:val="21"/>
                <w:szCs w:val="21"/>
              </w:rPr>
            </w:pPr>
            <w:r>
              <w:rPr>
                <w:rFonts w:hint="eastAsia" w:ascii="Times New Roman" w:hAnsi="Times New Roman"/>
                <w:sz w:val="21"/>
                <w:szCs w:val="21"/>
              </w:rPr>
              <w:t>清渣剂</w:t>
            </w:r>
          </w:p>
        </w:tc>
        <w:tc>
          <w:tcPr>
            <w:tcW w:w="2268" w:type="dxa"/>
            <w:vAlign w:val="center"/>
          </w:tcPr>
          <w:p w14:paraId="2E7DA962">
            <w:pPr>
              <w:pStyle w:val="22"/>
              <w:spacing w:line="218" w:lineRule="auto"/>
              <w:jc w:val="center"/>
              <w:rPr>
                <w:rFonts w:hint="eastAsia"/>
                <w:sz w:val="21"/>
                <w:szCs w:val="21"/>
                <w:lang w:eastAsia="zh-CN"/>
              </w:rPr>
            </w:pPr>
            <w:r>
              <w:rPr>
                <w:rFonts w:hint="eastAsia"/>
                <w:sz w:val="21"/>
                <w:szCs w:val="21"/>
                <w:lang w:eastAsia="zh-CN"/>
              </w:rPr>
              <w:t>1.500</w:t>
            </w:r>
          </w:p>
        </w:tc>
        <w:tc>
          <w:tcPr>
            <w:tcW w:w="2410" w:type="dxa"/>
            <w:vAlign w:val="center"/>
          </w:tcPr>
          <w:p w14:paraId="25D7F137">
            <w:pPr>
              <w:jc w:val="center"/>
              <w:rPr>
                <w:rFonts w:hint="eastAsia" w:ascii="宋体" w:hAnsi="宋体" w:eastAsia="宋体" w:cs="宋体"/>
                <w:szCs w:val="21"/>
              </w:rPr>
            </w:pPr>
            <w:r>
              <w:rPr>
                <w:rFonts w:hint="eastAsia" w:ascii="宋体" w:hAnsi="宋体" w:eastAsia="宋体" w:cs="宋体"/>
                <w:szCs w:val="21"/>
              </w:rPr>
              <w:t>0.6825</w:t>
            </w:r>
          </w:p>
        </w:tc>
        <w:tc>
          <w:tcPr>
            <w:tcW w:w="1701" w:type="dxa"/>
            <w:vAlign w:val="center"/>
          </w:tcPr>
          <w:p w14:paraId="684D91EF">
            <w:pPr>
              <w:pStyle w:val="22"/>
              <w:spacing w:line="218" w:lineRule="auto"/>
              <w:jc w:val="center"/>
              <w:rPr>
                <w:rFonts w:hint="eastAsia"/>
                <w:bCs/>
                <w:color w:val="auto"/>
                <w:lang w:eastAsia="zh-CN"/>
              </w:rPr>
            </w:pPr>
            <w:r>
              <w:rPr>
                <w:rFonts w:hint="eastAsia" w:ascii="Times New Roman" w:hAnsi="Times New Roman"/>
                <w:bCs/>
                <w:sz w:val="21"/>
                <w:szCs w:val="21"/>
                <w:lang w:eastAsia="zh-CN"/>
              </w:rPr>
              <w:t>中型货车</w:t>
            </w:r>
          </w:p>
        </w:tc>
      </w:tr>
    </w:tbl>
    <w:p w14:paraId="12D7C350">
      <w:pPr>
        <w:spacing w:before="156" w:beforeLines="50" w:line="360" w:lineRule="auto"/>
        <w:ind w:firstLine="1080" w:firstLineChars="450"/>
        <w:rPr>
          <w:rFonts w:hint="eastAsia" w:ascii="宋体" w:hAnsi="宋体" w:eastAsia="宋体" w:cs="宋体"/>
          <w:sz w:val="24"/>
          <w:szCs w:val="24"/>
        </w:rPr>
      </w:pPr>
      <w:r>
        <w:rPr>
          <w:rFonts w:hint="eastAsia" w:ascii="宋体" w:hAnsi="宋体" w:eastAsia="宋体" w:cs="宋体"/>
          <w:sz w:val="24"/>
          <w:szCs w:val="24"/>
        </w:rPr>
        <w:t xml:space="preserve">表3  </w:t>
      </w:r>
      <w:r>
        <w:rPr>
          <w:rFonts w:hint="eastAsia" w:cs="宋体" w:asciiTheme="minorEastAsia" w:hAnsiTheme="minorEastAsia"/>
          <w:color w:val="000000"/>
          <w:kern w:val="0"/>
          <w:sz w:val="24"/>
          <w:szCs w:val="24"/>
        </w:rPr>
        <w:t>AC4C</w:t>
      </w:r>
      <w:r>
        <w:rPr>
          <w:rFonts w:hint="eastAsia" w:ascii="宋体" w:hAnsi="宋体" w:eastAsia="宋体" w:cs="宋体"/>
          <w:sz w:val="24"/>
          <w:szCs w:val="24"/>
        </w:rPr>
        <w:t>铝合金产品生产过程生命周期清单数据</w:t>
      </w:r>
    </w:p>
    <w:tbl>
      <w:tblPr>
        <w:tblStyle w:val="11"/>
        <w:tblW w:w="0" w:type="auto"/>
        <w:tblInd w:w="-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4"/>
        <w:gridCol w:w="2130"/>
        <w:gridCol w:w="2131"/>
        <w:gridCol w:w="1948"/>
      </w:tblGrid>
      <w:tr w14:paraId="00765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trPr>
        <w:tc>
          <w:tcPr>
            <w:tcW w:w="4264" w:type="dxa"/>
            <w:gridSpan w:val="2"/>
            <w:vAlign w:val="center"/>
          </w:tcPr>
          <w:p w14:paraId="7A6C909B">
            <w:pPr>
              <w:pStyle w:val="22"/>
              <w:spacing w:line="218" w:lineRule="auto"/>
              <w:jc w:val="center"/>
              <w:rPr>
                <w:rFonts w:hint="eastAsia"/>
                <w:color w:val="auto"/>
                <w:lang w:eastAsia="zh-CN"/>
              </w:rPr>
            </w:pPr>
            <w:r>
              <w:rPr>
                <w:rFonts w:hint="eastAsia"/>
                <w:szCs w:val="21"/>
              </w:rPr>
              <w:t>清单数据类型</w:t>
            </w:r>
          </w:p>
        </w:tc>
        <w:tc>
          <w:tcPr>
            <w:tcW w:w="2131" w:type="dxa"/>
            <w:vAlign w:val="center"/>
          </w:tcPr>
          <w:p w14:paraId="31F47229">
            <w:pPr>
              <w:pStyle w:val="5"/>
              <w:spacing w:after="0"/>
              <w:jc w:val="center"/>
              <w:rPr>
                <w:rFonts w:hint="eastAsia" w:ascii="宋体" w:hAnsi="宋体" w:eastAsiaTheme="minorEastAsia" w:cstheme="minorBidi"/>
                <w:sz w:val="28"/>
                <w:szCs w:val="28"/>
              </w:rPr>
            </w:pPr>
            <w:r>
              <w:rPr>
                <w:rFonts w:hint="eastAsia"/>
                <w:color w:val="000000"/>
                <w:szCs w:val="21"/>
              </w:rPr>
              <w:t>数据量</w:t>
            </w:r>
          </w:p>
        </w:tc>
        <w:tc>
          <w:tcPr>
            <w:tcW w:w="1948" w:type="dxa"/>
            <w:vAlign w:val="center"/>
          </w:tcPr>
          <w:p w14:paraId="09CC5F72">
            <w:pPr>
              <w:pStyle w:val="5"/>
              <w:spacing w:after="0"/>
              <w:jc w:val="center"/>
              <w:rPr>
                <w:rFonts w:hint="eastAsia" w:ascii="宋体" w:hAnsi="宋体" w:eastAsiaTheme="minorEastAsia" w:cstheme="minorBidi"/>
                <w:sz w:val="28"/>
                <w:szCs w:val="28"/>
              </w:rPr>
            </w:pPr>
            <w:r>
              <w:rPr>
                <w:rFonts w:hint="eastAsia"/>
                <w:color w:val="000000"/>
                <w:szCs w:val="21"/>
              </w:rPr>
              <w:t>处置方式</w:t>
            </w:r>
          </w:p>
        </w:tc>
      </w:tr>
      <w:tr w14:paraId="39963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4" w:type="dxa"/>
            <w:vMerge w:val="restart"/>
            <w:vAlign w:val="center"/>
          </w:tcPr>
          <w:p w14:paraId="56CE4A0A">
            <w:pPr>
              <w:pStyle w:val="22"/>
              <w:spacing w:line="218" w:lineRule="auto"/>
              <w:jc w:val="center"/>
              <w:rPr>
                <w:rFonts w:hint="eastAsia"/>
                <w:color w:val="auto"/>
                <w:lang w:eastAsia="zh-CN"/>
              </w:rPr>
            </w:pPr>
            <w:r>
              <w:rPr>
                <w:rFonts w:hint="eastAsia"/>
                <w:szCs w:val="21"/>
              </w:rPr>
              <w:t>资源消耗（吨铝）</w:t>
            </w:r>
          </w:p>
        </w:tc>
        <w:tc>
          <w:tcPr>
            <w:tcW w:w="2130" w:type="dxa"/>
            <w:vAlign w:val="center"/>
          </w:tcPr>
          <w:p w14:paraId="42FB4E21">
            <w:pPr>
              <w:pStyle w:val="5"/>
              <w:spacing w:after="0" w:line="226" w:lineRule="auto"/>
              <w:jc w:val="center"/>
              <w:rPr>
                <w:rFonts w:hint="eastAsia" w:ascii="宋体" w:hAnsi="宋体" w:eastAsiaTheme="minorEastAsia" w:cstheme="minorBidi"/>
                <w:sz w:val="28"/>
                <w:szCs w:val="28"/>
              </w:rPr>
            </w:pPr>
            <w:r>
              <w:rPr>
                <w:rFonts w:hint="eastAsia"/>
                <w:color w:val="000000"/>
                <w:szCs w:val="21"/>
              </w:rPr>
              <w:t>原料</w:t>
            </w:r>
          </w:p>
        </w:tc>
        <w:tc>
          <w:tcPr>
            <w:tcW w:w="2131" w:type="dxa"/>
            <w:vAlign w:val="center"/>
          </w:tcPr>
          <w:p w14:paraId="3DF12DE4">
            <w:pPr>
              <w:pStyle w:val="5"/>
              <w:spacing w:after="0"/>
              <w:jc w:val="center"/>
              <w:rPr>
                <w:color w:val="000000"/>
                <w:szCs w:val="21"/>
              </w:rPr>
            </w:pPr>
            <w:r>
              <w:rPr>
                <w:rFonts w:hint="eastAsia"/>
                <w:color w:val="000000"/>
                <w:szCs w:val="21"/>
              </w:rPr>
              <w:t>1t</w:t>
            </w:r>
          </w:p>
        </w:tc>
        <w:tc>
          <w:tcPr>
            <w:tcW w:w="1948" w:type="dxa"/>
            <w:vAlign w:val="center"/>
          </w:tcPr>
          <w:p w14:paraId="687A5EDD">
            <w:pPr>
              <w:pStyle w:val="5"/>
              <w:spacing w:after="0"/>
              <w:jc w:val="center"/>
              <w:rPr>
                <w:color w:val="000000"/>
                <w:szCs w:val="21"/>
              </w:rPr>
            </w:pPr>
            <w:r>
              <w:rPr>
                <w:rFonts w:hint="eastAsia"/>
                <w:color w:val="000000"/>
                <w:szCs w:val="21"/>
              </w:rPr>
              <w:t>熔炼炉熔炼</w:t>
            </w:r>
          </w:p>
        </w:tc>
      </w:tr>
      <w:tr w14:paraId="6B042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4" w:type="dxa"/>
            <w:vMerge w:val="continue"/>
            <w:vAlign w:val="center"/>
          </w:tcPr>
          <w:p w14:paraId="530AF563">
            <w:pPr>
              <w:pStyle w:val="22"/>
              <w:spacing w:line="218" w:lineRule="auto"/>
              <w:jc w:val="center"/>
              <w:rPr>
                <w:rFonts w:hint="eastAsia"/>
                <w:color w:val="auto"/>
                <w:lang w:eastAsia="zh-CN"/>
              </w:rPr>
            </w:pPr>
          </w:p>
        </w:tc>
        <w:tc>
          <w:tcPr>
            <w:tcW w:w="2130" w:type="dxa"/>
            <w:vAlign w:val="center"/>
          </w:tcPr>
          <w:p w14:paraId="6674AB2F">
            <w:pPr>
              <w:pStyle w:val="5"/>
              <w:spacing w:after="0" w:line="226" w:lineRule="auto"/>
              <w:jc w:val="center"/>
              <w:rPr>
                <w:color w:val="000000"/>
                <w:szCs w:val="21"/>
              </w:rPr>
            </w:pPr>
            <w:r>
              <w:rPr>
                <w:rFonts w:hint="eastAsia"/>
                <w:color w:val="000000"/>
                <w:szCs w:val="21"/>
              </w:rPr>
              <w:t>柴油</w:t>
            </w:r>
          </w:p>
        </w:tc>
        <w:tc>
          <w:tcPr>
            <w:tcW w:w="2131" w:type="dxa"/>
            <w:vAlign w:val="center"/>
          </w:tcPr>
          <w:p w14:paraId="24D80A36">
            <w:pPr>
              <w:jc w:val="center"/>
              <w:rPr>
                <w:rFonts w:ascii="Times New Roman" w:hAnsi="Times New Roman" w:cs="Times New Roman"/>
              </w:rPr>
            </w:pPr>
            <w:r>
              <w:rPr>
                <w:rFonts w:hint="eastAsia" w:ascii="Times New Roman" w:hAnsi="Times New Roman" w:cs="Times New Roman"/>
              </w:rPr>
              <w:t>0.0014</w:t>
            </w:r>
            <w:r>
              <w:rPr>
                <w:rFonts w:hint="eastAsia"/>
                <w:color w:val="000000"/>
                <w:szCs w:val="21"/>
              </w:rPr>
              <w:t>kg</w:t>
            </w:r>
          </w:p>
        </w:tc>
        <w:tc>
          <w:tcPr>
            <w:tcW w:w="1948" w:type="dxa"/>
          </w:tcPr>
          <w:p w14:paraId="0F0C6ED2">
            <w:pPr>
              <w:ind w:firstLine="210" w:firstLineChars="100"/>
            </w:pPr>
            <w:r>
              <w:rPr>
                <w:rFonts w:hint="eastAsia"/>
                <w:color w:val="000000"/>
                <w:szCs w:val="21"/>
              </w:rPr>
              <w:t>温室气体外排</w:t>
            </w:r>
          </w:p>
        </w:tc>
      </w:tr>
      <w:tr w14:paraId="19027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4" w:type="dxa"/>
            <w:vMerge w:val="continue"/>
            <w:vAlign w:val="center"/>
          </w:tcPr>
          <w:p w14:paraId="185C7035">
            <w:pPr>
              <w:pStyle w:val="22"/>
              <w:spacing w:line="218" w:lineRule="auto"/>
              <w:jc w:val="center"/>
              <w:rPr>
                <w:rFonts w:hint="eastAsia"/>
                <w:color w:val="auto"/>
                <w:lang w:eastAsia="zh-CN"/>
              </w:rPr>
            </w:pPr>
          </w:p>
        </w:tc>
        <w:tc>
          <w:tcPr>
            <w:tcW w:w="2130" w:type="dxa"/>
            <w:vAlign w:val="center"/>
          </w:tcPr>
          <w:p w14:paraId="2D4951BC">
            <w:pPr>
              <w:pStyle w:val="22"/>
              <w:spacing w:line="218" w:lineRule="auto"/>
              <w:jc w:val="center"/>
              <w:rPr>
                <w:rFonts w:hint="eastAsia"/>
                <w:color w:val="auto"/>
                <w:lang w:eastAsia="zh-CN"/>
              </w:rPr>
            </w:pPr>
            <w:r>
              <w:rPr>
                <w:rFonts w:hint="eastAsia"/>
                <w:szCs w:val="21"/>
              </w:rPr>
              <w:t>天然气</w:t>
            </w:r>
          </w:p>
        </w:tc>
        <w:tc>
          <w:tcPr>
            <w:tcW w:w="2131" w:type="dxa"/>
            <w:vAlign w:val="center"/>
          </w:tcPr>
          <w:p w14:paraId="70D160C7">
            <w:pPr>
              <w:jc w:val="center"/>
              <w:rPr>
                <w:rFonts w:ascii="Times New Roman" w:hAnsi="Times New Roman" w:cs="Times New Roman"/>
              </w:rPr>
            </w:pPr>
            <w:r>
              <w:rPr>
                <w:rFonts w:hint="eastAsia" w:ascii="Times New Roman" w:hAnsi="Times New Roman" w:cs="Times New Roman"/>
              </w:rPr>
              <w:t>88.7629m³</w:t>
            </w:r>
          </w:p>
        </w:tc>
        <w:tc>
          <w:tcPr>
            <w:tcW w:w="1948" w:type="dxa"/>
          </w:tcPr>
          <w:p w14:paraId="2B7A9713">
            <w:pPr>
              <w:ind w:firstLine="210" w:firstLineChars="100"/>
            </w:pPr>
            <w:r>
              <w:rPr>
                <w:rFonts w:hint="eastAsia"/>
                <w:color w:val="000000"/>
                <w:szCs w:val="21"/>
              </w:rPr>
              <w:t>温室气体外排</w:t>
            </w:r>
          </w:p>
        </w:tc>
      </w:tr>
      <w:tr w14:paraId="5C8C31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4" w:type="dxa"/>
            <w:vMerge w:val="continue"/>
            <w:vAlign w:val="center"/>
          </w:tcPr>
          <w:p w14:paraId="0E0AF17B">
            <w:pPr>
              <w:pStyle w:val="22"/>
              <w:spacing w:line="218" w:lineRule="auto"/>
              <w:jc w:val="center"/>
              <w:rPr>
                <w:rFonts w:hint="eastAsia"/>
                <w:color w:val="auto"/>
                <w:lang w:eastAsia="zh-CN"/>
              </w:rPr>
            </w:pPr>
          </w:p>
        </w:tc>
        <w:tc>
          <w:tcPr>
            <w:tcW w:w="2130" w:type="dxa"/>
            <w:vAlign w:val="center"/>
          </w:tcPr>
          <w:p w14:paraId="54DEAFC2">
            <w:pPr>
              <w:pStyle w:val="22"/>
              <w:spacing w:line="218" w:lineRule="auto"/>
              <w:jc w:val="center"/>
              <w:rPr>
                <w:rFonts w:hint="eastAsia"/>
                <w:color w:val="auto"/>
                <w:lang w:eastAsia="zh-CN"/>
              </w:rPr>
            </w:pPr>
            <w:r>
              <w:rPr>
                <w:rFonts w:hint="eastAsia"/>
                <w:szCs w:val="21"/>
              </w:rPr>
              <w:t>电</w:t>
            </w:r>
          </w:p>
        </w:tc>
        <w:tc>
          <w:tcPr>
            <w:tcW w:w="2131" w:type="dxa"/>
            <w:vAlign w:val="center"/>
          </w:tcPr>
          <w:p w14:paraId="7E098887">
            <w:pPr>
              <w:jc w:val="center"/>
              <w:rPr>
                <w:rFonts w:ascii="Times New Roman" w:hAnsi="Times New Roman" w:cs="Times New Roman"/>
              </w:rPr>
            </w:pPr>
            <w:r>
              <w:rPr>
                <w:rFonts w:hint="eastAsia" w:ascii="Times New Roman" w:hAnsi="Times New Roman" w:cs="Times New Roman"/>
              </w:rPr>
              <w:t>48.7520kwh</w:t>
            </w:r>
          </w:p>
        </w:tc>
        <w:tc>
          <w:tcPr>
            <w:tcW w:w="1948" w:type="dxa"/>
          </w:tcPr>
          <w:p w14:paraId="4EC7A831">
            <w:pPr>
              <w:ind w:firstLine="210" w:firstLineChars="100"/>
            </w:pPr>
            <w:r>
              <w:rPr>
                <w:rFonts w:hint="eastAsia"/>
                <w:color w:val="000000"/>
                <w:szCs w:val="21"/>
              </w:rPr>
              <w:t>温室气体外排</w:t>
            </w:r>
          </w:p>
        </w:tc>
      </w:tr>
      <w:tr w14:paraId="196FF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4" w:type="dxa"/>
            <w:vMerge w:val="restart"/>
            <w:vAlign w:val="center"/>
          </w:tcPr>
          <w:p w14:paraId="094468FF">
            <w:pPr>
              <w:pStyle w:val="22"/>
              <w:spacing w:line="218" w:lineRule="auto"/>
              <w:jc w:val="center"/>
              <w:rPr>
                <w:rFonts w:hint="eastAsia"/>
                <w:color w:val="auto"/>
                <w:lang w:eastAsia="zh-CN"/>
              </w:rPr>
            </w:pPr>
            <w:r>
              <w:rPr>
                <w:rFonts w:hint="eastAsia"/>
                <w:szCs w:val="21"/>
              </w:rPr>
              <w:t>环境排放（吨铝）</w:t>
            </w:r>
          </w:p>
        </w:tc>
        <w:tc>
          <w:tcPr>
            <w:tcW w:w="2130" w:type="dxa"/>
          </w:tcPr>
          <w:p w14:paraId="207CBB1B">
            <w:pPr>
              <w:jc w:val="center"/>
            </w:pPr>
            <w:r>
              <w:rPr>
                <w:rFonts w:ascii="Calibri" w:hAnsi="Calibri"/>
                <w:color w:val="000000"/>
                <w:szCs w:val="21"/>
              </w:rPr>
              <w:t>C02</w:t>
            </w:r>
          </w:p>
        </w:tc>
        <w:tc>
          <w:tcPr>
            <w:tcW w:w="2131" w:type="dxa"/>
            <w:vAlign w:val="center"/>
          </w:tcPr>
          <w:p w14:paraId="6C22C4AF">
            <w:pPr>
              <w:jc w:val="center"/>
              <w:rPr>
                <w:rFonts w:ascii="Times New Roman" w:hAnsi="Times New Roman" w:eastAsia="宋体" w:cs="Times New Roman"/>
                <w:sz w:val="24"/>
                <w:szCs w:val="24"/>
              </w:rPr>
            </w:pPr>
            <w:r>
              <w:rPr>
                <w:rFonts w:hint="eastAsia" w:ascii="Times New Roman" w:hAnsi="Times New Roman" w:cs="Times New Roman"/>
              </w:rPr>
              <w:t>15.70</w:t>
            </w:r>
            <w:r>
              <w:rPr>
                <w:rFonts w:ascii="Times New Roman" w:hAnsi="Times New Roman" w:cs="Times New Roman"/>
              </w:rPr>
              <w:t xml:space="preserve"> kgCO2e</w:t>
            </w:r>
          </w:p>
        </w:tc>
        <w:tc>
          <w:tcPr>
            <w:tcW w:w="1948" w:type="dxa"/>
          </w:tcPr>
          <w:p w14:paraId="0CE07187">
            <w:pPr>
              <w:ind w:firstLine="210" w:firstLineChars="100"/>
            </w:pPr>
            <w:r>
              <w:rPr>
                <w:rFonts w:hint="eastAsia"/>
                <w:color w:val="000000"/>
                <w:szCs w:val="21"/>
              </w:rPr>
              <w:t>温室气体外排</w:t>
            </w:r>
          </w:p>
        </w:tc>
      </w:tr>
      <w:tr w14:paraId="240CA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4" w:type="dxa"/>
            <w:vMerge w:val="continue"/>
            <w:vAlign w:val="center"/>
          </w:tcPr>
          <w:p w14:paraId="77533785">
            <w:pPr>
              <w:pStyle w:val="22"/>
              <w:spacing w:line="218" w:lineRule="auto"/>
              <w:jc w:val="center"/>
              <w:rPr>
                <w:rFonts w:hint="eastAsia"/>
                <w:color w:val="auto"/>
                <w:lang w:eastAsia="zh-CN"/>
              </w:rPr>
            </w:pPr>
          </w:p>
        </w:tc>
        <w:tc>
          <w:tcPr>
            <w:tcW w:w="2130" w:type="dxa"/>
          </w:tcPr>
          <w:p w14:paraId="4E85EC84">
            <w:pPr>
              <w:jc w:val="center"/>
            </w:pPr>
            <w:r>
              <w:rPr>
                <w:rFonts w:hint="eastAsia" w:ascii="Calibri" w:hAnsi="Calibri"/>
                <w:color w:val="000000"/>
                <w:szCs w:val="21"/>
              </w:rPr>
              <w:t>S</w:t>
            </w:r>
            <w:r>
              <w:rPr>
                <w:rFonts w:ascii="Calibri" w:hAnsi="Calibri"/>
                <w:color w:val="000000"/>
                <w:szCs w:val="21"/>
              </w:rPr>
              <w:t>02</w:t>
            </w:r>
          </w:p>
        </w:tc>
        <w:tc>
          <w:tcPr>
            <w:tcW w:w="2131" w:type="dxa"/>
            <w:vAlign w:val="center"/>
          </w:tcPr>
          <w:p w14:paraId="02CF5FE5">
            <w:pPr>
              <w:pStyle w:val="5"/>
              <w:spacing w:after="0"/>
              <w:jc w:val="center"/>
              <w:rPr>
                <w:color w:val="000000"/>
                <w:szCs w:val="21"/>
              </w:rPr>
            </w:pPr>
            <w:r>
              <w:rPr>
                <w:rFonts w:hint="eastAsia"/>
                <w:color w:val="000000"/>
                <w:szCs w:val="21"/>
              </w:rPr>
              <w:t>0.0001kg</w:t>
            </w:r>
          </w:p>
        </w:tc>
        <w:tc>
          <w:tcPr>
            <w:tcW w:w="1948" w:type="dxa"/>
          </w:tcPr>
          <w:p w14:paraId="689E82CB">
            <w:pPr>
              <w:ind w:firstLine="210" w:firstLineChars="100"/>
            </w:pPr>
            <w:r>
              <w:rPr>
                <w:rFonts w:hint="eastAsia"/>
                <w:color w:val="000000"/>
                <w:szCs w:val="21"/>
              </w:rPr>
              <w:t>脱硝脱硫</w:t>
            </w:r>
          </w:p>
        </w:tc>
      </w:tr>
      <w:tr w14:paraId="23FDB4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4" w:type="dxa"/>
            <w:vMerge w:val="continue"/>
            <w:vAlign w:val="center"/>
          </w:tcPr>
          <w:p w14:paraId="142A8540">
            <w:pPr>
              <w:pStyle w:val="22"/>
              <w:spacing w:line="218" w:lineRule="auto"/>
              <w:jc w:val="center"/>
              <w:rPr>
                <w:rFonts w:hint="eastAsia"/>
                <w:color w:val="auto"/>
                <w:lang w:eastAsia="zh-CN"/>
              </w:rPr>
            </w:pPr>
          </w:p>
        </w:tc>
        <w:tc>
          <w:tcPr>
            <w:tcW w:w="2130" w:type="dxa"/>
          </w:tcPr>
          <w:p w14:paraId="3E46950F">
            <w:pPr>
              <w:jc w:val="center"/>
              <w:rPr>
                <w:rFonts w:ascii="Calibri" w:hAnsi="Calibri"/>
                <w:color w:val="000000"/>
                <w:szCs w:val="21"/>
              </w:rPr>
            </w:pPr>
            <w:r>
              <w:rPr>
                <w:rFonts w:hint="eastAsia" w:ascii="Calibri" w:hAnsi="Calibri"/>
                <w:color w:val="000000"/>
                <w:szCs w:val="21"/>
              </w:rPr>
              <w:t>NOX</w:t>
            </w:r>
          </w:p>
        </w:tc>
        <w:tc>
          <w:tcPr>
            <w:tcW w:w="2131" w:type="dxa"/>
            <w:vAlign w:val="center"/>
          </w:tcPr>
          <w:p w14:paraId="34D12BC1">
            <w:pPr>
              <w:pStyle w:val="5"/>
              <w:spacing w:after="0"/>
              <w:jc w:val="center"/>
              <w:rPr>
                <w:color w:val="000000"/>
                <w:szCs w:val="21"/>
              </w:rPr>
            </w:pPr>
            <w:r>
              <w:rPr>
                <w:rFonts w:hint="eastAsia"/>
                <w:color w:val="000000"/>
                <w:szCs w:val="21"/>
              </w:rPr>
              <w:t>0.0002kg</w:t>
            </w:r>
          </w:p>
        </w:tc>
        <w:tc>
          <w:tcPr>
            <w:tcW w:w="1948" w:type="dxa"/>
          </w:tcPr>
          <w:p w14:paraId="578853A5">
            <w:pPr>
              <w:ind w:firstLine="210" w:firstLineChars="100"/>
              <w:rPr>
                <w:color w:val="000000"/>
                <w:szCs w:val="21"/>
              </w:rPr>
            </w:pPr>
            <w:r>
              <w:rPr>
                <w:rFonts w:hint="eastAsia"/>
                <w:color w:val="000000"/>
                <w:szCs w:val="21"/>
              </w:rPr>
              <w:t>脱硝脱硫</w:t>
            </w:r>
          </w:p>
        </w:tc>
      </w:tr>
      <w:tr w14:paraId="5D35C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4" w:type="dxa"/>
            <w:vMerge w:val="continue"/>
            <w:vAlign w:val="center"/>
          </w:tcPr>
          <w:p w14:paraId="56F667B5">
            <w:pPr>
              <w:pStyle w:val="22"/>
              <w:spacing w:line="218" w:lineRule="auto"/>
              <w:jc w:val="center"/>
              <w:rPr>
                <w:rFonts w:hint="eastAsia"/>
                <w:color w:val="auto"/>
                <w:lang w:eastAsia="zh-CN"/>
              </w:rPr>
            </w:pPr>
          </w:p>
        </w:tc>
        <w:tc>
          <w:tcPr>
            <w:tcW w:w="2130" w:type="dxa"/>
          </w:tcPr>
          <w:p w14:paraId="45F57587">
            <w:pPr>
              <w:jc w:val="center"/>
            </w:pPr>
            <w:r>
              <w:rPr>
                <w:rFonts w:hint="eastAsia"/>
                <w:color w:val="000000"/>
                <w:szCs w:val="21"/>
              </w:rPr>
              <w:t>颗粒物</w:t>
            </w:r>
          </w:p>
        </w:tc>
        <w:tc>
          <w:tcPr>
            <w:tcW w:w="2131" w:type="dxa"/>
            <w:vAlign w:val="center"/>
          </w:tcPr>
          <w:p w14:paraId="74AA8FA9">
            <w:pPr>
              <w:pStyle w:val="5"/>
              <w:spacing w:after="0"/>
              <w:jc w:val="center"/>
              <w:rPr>
                <w:color w:val="000000"/>
                <w:szCs w:val="21"/>
              </w:rPr>
            </w:pPr>
            <w:r>
              <w:rPr>
                <w:rFonts w:hint="eastAsia"/>
                <w:color w:val="000000"/>
                <w:szCs w:val="21"/>
              </w:rPr>
              <w:t>0.0001kg</w:t>
            </w:r>
          </w:p>
        </w:tc>
        <w:tc>
          <w:tcPr>
            <w:tcW w:w="1948" w:type="dxa"/>
          </w:tcPr>
          <w:p w14:paraId="4E563B82">
            <w:pPr>
              <w:ind w:firstLine="105" w:firstLineChars="50"/>
            </w:pPr>
            <w:r>
              <w:rPr>
                <w:rFonts w:hint="eastAsia"/>
                <w:color w:val="000000"/>
                <w:szCs w:val="21"/>
              </w:rPr>
              <w:t>外排，布袋除尘</w:t>
            </w:r>
          </w:p>
        </w:tc>
      </w:tr>
    </w:tbl>
    <w:p w14:paraId="7225980D">
      <w:pPr>
        <w:pStyle w:val="22"/>
        <w:spacing w:line="218" w:lineRule="auto"/>
        <w:jc w:val="center"/>
        <w:rPr>
          <w:rFonts w:asciiTheme="minorHAnsi" w:hAnsiTheme="minorHAnsi" w:eastAsiaTheme="minorEastAsia" w:cstheme="minorBidi"/>
          <w:snapToGrid/>
          <w:kern w:val="2"/>
          <w:sz w:val="21"/>
          <w:szCs w:val="21"/>
          <w:lang w:eastAsia="zh-CN"/>
        </w:rPr>
      </w:pPr>
    </w:p>
    <w:p w14:paraId="27473079">
      <w:pPr>
        <w:pStyle w:val="22"/>
        <w:spacing w:line="218" w:lineRule="auto"/>
        <w:jc w:val="center"/>
        <w:rPr>
          <w:rFonts w:hint="eastAsia" w:eastAsiaTheme="minorEastAsia" w:cstheme="minorBidi"/>
          <w:snapToGrid/>
          <w:color w:val="auto"/>
          <w:kern w:val="2"/>
          <w:sz w:val="24"/>
          <w:szCs w:val="24"/>
          <w:lang w:eastAsia="zh-CN"/>
        </w:rPr>
      </w:pPr>
    </w:p>
    <w:p w14:paraId="711B4E46">
      <w:pPr>
        <w:pStyle w:val="22"/>
        <w:spacing w:line="218" w:lineRule="auto"/>
        <w:jc w:val="center"/>
        <w:rPr>
          <w:rFonts w:hint="eastAsia" w:eastAsiaTheme="minorEastAsia" w:cstheme="minorBidi"/>
          <w:snapToGrid/>
          <w:color w:val="auto"/>
          <w:kern w:val="2"/>
          <w:sz w:val="24"/>
          <w:szCs w:val="24"/>
          <w:lang w:eastAsia="zh-CN"/>
        </w:rPr>
      </w:pPr>
    </w:p>
    <w:p w14:paraId="3F96B5BC">
      <w:pPr>
        <w:pStyle w:val="22"/>
        <w:spacing w:line="218" w:lineRule="auto"/>
        <w:jc w:val="center"/>
        <w:rPr>
          <w:rFonts w:hint="eastAsia" w:eastAsiaTheme="minorEastAsia" w:cstheme="minorBidi"/>
          <w:snapToGrid/>
          <w:color w:val="auto"/>
          <w:kern w:val="2"/>
          <w:sz w:val="24"/>
          <w:szCs w:val="24"/>
          <w:lang w:eastAsia="zh-CN"/>
        </w:rPr>
      </w:pPr>
    </w:p>
    <w:p w14:paraId="13C6D321">
      <w:pPr>
        <w:pStyle w:val="22"/>
        <w:spacing w:line="218" w:lineRule="auto"/>
        <w:jc w:val="center"/>
        <w:rPr>
          <w:rFonts w:hint="eastAsia" w:eastAsiaTheme="minorEastAsia" w:cstheme="minorBidi"/>
          <w:snapToGrid/>
          <w:color w:val="auto"/>
          <w:kern w:val="2"/>
          <w:sz w:val="24"/>
          <w:szCs w:val="24"/>
          <w:lang w:eastAsia="zh-CN"/>
        </w:rPr>
      </w:pPr>
    </w:p>
    <w:p w14:paraId="4D9E46B2">
      <w:pPr>
        <w:pStyle w:val="22"/>
        <w:spacing w:line="218" w:lineRule="auto"/>
        <w:jc w:val="center"/>
        <w:rPr>
          <w:rFonts w:hint="eastAsia" w:eastAsiaTheme="minorEastAsia" w:cstheme="minorBidi"/>
          <w:snapToGrid/>
          <w:color w:val="auto"/>
          <w:kern w:val="2"/>
          <w:sz w:val="24"/>
          <w:szCs w:val="24"/>
          <w:lang w:eastAsia="zh-CN"/>
        </w:rPr>
      </w:pPr>
    </w:p>
    <w:p w14:paraId="4C0AECDC">
      <w:pPr>
        <w:pStyle w:val="22"/>
        <w:spacing w:line="218" w:lineRule="auto"/>
        <w:jc w:val="center"/>
        <w:rPr>
          <w:rFonts w:hint="eastAsia" w:eastAsiaTheme="minorEastAsia" w:cstheme="minorBidi"/>
          <w:snapToGrid/>
          <w:color w:val="auto"/>
          <w:kern w:val="2"/>
          <w:sz w:val="24"/>
          <w:szCs w:val="24"/>
          <w:lang w:eastAsia="zh-CN"/>
        </w:rPr>
      </w:pPr>
    </w:p>
    <w:p w14:paraId="5A2D97BA">
      <w:pPr>
        <w:pStyle w:val="22"/>
        <w:spacing w:line="218" w:lineRule="auto"/>
        <w:jc w:val="center"/>
        <w:rPr>
          <w:rFonts w:hint="eastAsia" w:eastAsiaTheme="minorEastAsia" w:cstheme="minorBidi"/>
          <w:snapToGrid/>
          <w:color w:val="auto"/>
          <w:kern w:val="2"/>
          <w:sz w:val="24"/>
          <w:szCs w:val="24"/>
          <w:lang w:eastAsia="zh-CN"/>
        </w:rPr>
      </w:pPr>
      <w:r>
        <w:rPr>
          <w:rFonts w:eastAsiaTheme="minorEastAsia" w:cstheme="minorBidi"/>
          <w:snapToGrid/>
          <w:color w:val="auto"/>
          <w:kern w:val="2"/>
          <w:sz w:val="24"/>
          <w:szCs w:val="24"/>
          <w:lang w:eastAsia="zh-CN"/>
        </w:rPr>
        <w:t>表</w:t>
      </w:r>
      <w:r>
        <w:rPr>
          <w:rFonts w:hint="eastAsia" w:eastAsiaTheme="minorEastAsia" w:cstheme="minorBidi"/>
          <w:snapToGrid/>
          <w:color w:val="auto"/>
          <w:kern w:val="2"/>
          <w:sz w:val="24"/>
          <w:szCs w:val="24"/>
          <w:lang w:eastAsia="zh-CN"/>
        </w:rPr>
        <w:t>4  对废弃物的管理，减少排放和资源消耗</w:t>
      </w:r>
    </w:p>
    <w:tbl>
      <w:tblPr>
        <w:tblStyle w:val="21"/>
        <w:tblW w:w="8357"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691"/>
        <w:gridCol w:w="1759"/>
        <w:gridCol w:w="2017"/>
        <w:gridCol w:w="1729"/>
        <w:gridCol w:w="2161"/>
      </w:tblGrid>
      <w:tr w14:paraId="798B24D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2" w:hRule="atLeast"/>
        </w:trPr>
        <w:tc>
          <w:tcPr>
            <w:tcW w:w="691" w:type="dxa"/>
            <w:vAlign w:val="center"/>
          </w:tcPr>
          <w:p w14:paraId="22229250">
            <w:pPr>
              <w:pStyle w:val="22"/>
              <w:spacing w:line="0" w:lineRule="atLeast"/>
              <w:ind w:left="115"/>
              <w:jc w:val="center"/>
              <w:rPr>
                <w:rFonts w:hint="eastAsia" w:asciiTheme="minorEastAsia" w:hAnsiTheme="minorEastAsia" w:eastAsiaTheme="minorEastAsia"/>
                <w:spacing w:val="-1"/>
                <w:sz w:val="21"/>
                <w:szCs w:val="21"/>
              </w:rPr>
            </w:pPr>
            <w:r>
              <w:rPr>
                <w:rFonts w:asciiTheme="minorEastAsia" w:hAnsiTheme="minorEastAsia" w:eastAsiaTheme="minorEastAsia"/>
                <w:spacing w:val="-1"/>
                <w:sz w:val="21"/>
                <w:szCs w:val="21"/>
              </w:rPr>
              <w:t>类别</w:t>
            </w:r>
          </w:p>
        </w:tc>
        <w:tc>
          <w:tcPr>
            <w:tcW w:w="1759" w:type="dxa"/>
            <w:vAlign w:val="center"/>
          </w:tcPr>
          <w:p w14:paraId="2353D571">
            <w:pPr>
              <w:pStyle w:val="22"/>
              <w:spacing w:line="0" w:lineRule="atLeast"/>
              <w:ind w:left="115"/>
              <w:jc w:val="center"/>
              <w:rPr>
                <w:rFonts w:hint="eastAsia" w:asciiTheme="minorEastAsia" w:hAnsiTheme="minorEastAsia" w:eastAsiaTheme="minorEastAsia"/>
                <w:spacing w:val="-1"/>
                <w:sz w:val="21"/>
                <w:szCs w:val="21"/>
              </w:rPr>
            </w:pPr>
            <w:r>
              <w:rPr>
                <w:rFonts w:asciiTheme="minorEastAsia" w:hAnsiTheme="minorEastAsia" w:eastAsiaTheme="minorEastAsia"/>
                <w:spacing w:val="-1"/>
                <w:sz w:val="21"/>
                <w:szCs w:val="21"/>
              </w:rPr>
              <w:t>废弃物名称</w:t>
            </w:r>
          </w:p>
        </w:tc>
        <w:tc>
          <w:tcPr>
            <w:tcW w:w="2017" w:type="dxa"/>
            <w:vAlign w:val="center"/>
          </w:tcPr>
          <w:p w14:paraId="62300360">
            <w:pPr>
              <w:pStyle w:val="22"/>
              <w:spacing w:line="0" w:lineRule="atLeast"/>
              <w:ind w:left="115"/>
              <w:jc w:val="center"/>
              <w:rPr>
                <w:rFonts w:hint="eastAsia" w:asciiTheme="minorEastAsia" w:hAnsiTheme="minorEastAsia" w:eastAsiaTheme="minorEastAsia"/>
                <w:spacing w:val="-1"/>
                <w:sz w:val="21"/>
                <w:szCs w:val="21"/>
                <w:lang w:eastAsia="zh-CN"/>
              </w:rPr>
            </w:pPr>
            <w:r>
              <w:rPr>
                <w:rFonts w:asciiTheme="minorEastAsia" w:hAnsiTheme="minorEastAsia" w:eastAsiaTheme="minorEastAsia"/>
                <w:spacing w:val="-1"/>
                <w:sz w:val="21"/>
                <w:szCs w:val="21"/>
                <w:lang w:eastAsia="zh-CN"/>
              </w:rPr>
              <w:t>处理前产生</w:t>
            </w:r>
            <w:r>
              <w:rPr>
                <w:rFonts w:hint="eastAsia" w:asciiTheme="minorEastAsia" w:hAnsiTheme="minorEastAsia" w:eastAsiaTheme="minorEastAsia"/>
                <w:spacing w:val="-1"/>
                <w:sz w:val="21"/>
                <w:szCs w:val="21"/>
                <w:lang w:eastAsia="zh-CN"/>
              </w:rPr>
              <w:t>量/单吨产品产生量（Kg）</w:t>
            </w:r>
          </w:p>
        </w:tc>
        <w:tc>
          <w:tcPr>
            <w:tcW w:w="1729" w:type="dxa"/>
            <w:vAlign w:val="center"/>
          </w:tcPr>
          <w:p w14:paraId="66FE63F9">
            <w:pPr>
              <w:pStyle w:val="22"/>
              <w:spacing w:line="0" w:lineRule="atLeast"/>
              <w:ind w:left="115"/>
              <w:jc w:val="center"/>
              <w:rPr>
                <w:rFonts w:hint="eastAsia" w:asciiTheme="minorEastAsia" w:hAnsiTheme="minorEastAsia" w:eastAsiaTheme="minorEastAsia"/>
                <w:spacing w:val="-1"/>
                <w:sz w:val="21"/>
                <w:szCs w:val="21"/>
              </w:rPr>
            </w:pPr>
            <w:r>
              <w:rPr>
                <w:rFonts w:asciiTheme="minorEastAsia" w:hAnsiTheme="minorEastAsia" w:eastAsiaTheme="minorEastAsia"/>
                <w:spacing w:val="-1"/>
                <w:sz w:val="21"/>
                <w:szCs w:val="21"/>
              </w:rPr>
              <w:t>处理方式</w:t>
            </w:r>
          </w:p>
        </w:tc>
        <w:tc>
          <w:tcPr>
            <w:tcW w:w="2161" w:type="dxa"/>
            <w:vAlign w:val="center"/>
          </w:tcPr>
          <w:p w14:paraId="484E2917">
            <w:pPr>
              <w:pStyle w:val="22"/>
              <w:spacing w:line="0" w:lineRule="atLeast"/>
              <w:ind w:left="115"/>
              <w:jc w:val="center"/>
              <w:rPr>
                <w:rFonts w:hint="eastAsia" w:asciiTheme="minorEastAsia" w:hAnsiTheme="minorEastAsia" w:eastAsiaTheme="minorEastAsia"/>
                <w:spacing w:val="-1"/>
                <w:sz w:val="21"/>
                <w:szCs w:val="21"/>
              </w:rPr>
            </w:pPr>
            <w:r>
              <w:rPr>
                <w:rFonts w:asciiTheme="minorEastAsia" w:hAnsiTheme="minorEastAsia" w:eastAsiaTheme="minorEastAsia"/>
                <w:spacing w:val="-1"/>
                <w:sz w:val="21"/>
                <w:szCs w:val="21"/>
              </w:rPr>
              <w:t>处置单位</w:t>
            </w:r>
          </w:p>
        </w:tc>
      </w:tr>
      <w:tr w14:paraId="3B9E742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691" w:type="dxa"/>
            <w:vMerge w:val="restart"/>
            <w:tcBorders>
              <w:bottom w:val="nil"/>
            </w:tcBorders>
            <w:vAlign w:val="center"/>
          </w:tcPr>
          <w:p w14:paraId="6A10D22C">
            <w:pPr>
              <w:pStyle w:val="22"/>
              <w:spacing w:line="0" w:lineRule="atLeast"/>
              <w:ind w:left="113"/>
              <w:jc w:val="center"/>
              <w:rPr>
                <w:rFonts w:hint="eastAsia" w:asciiTheme="minorEastAsia" w:hAnsiTheme="minorEastAsia" w:eastAsiaTheme="minorEastAsia"/>
                <w:spacing w:val="-1"/>
                <w:sz w:val="21"/>
                <w:szCs w:val="21"/>
                <w:lang w:eastAsia="zh-CN"/>
              </w:rPr>
            </w:pPr>
            <w:r>
              <w:rPr>
                <w:rFonts w:hint="eastAsia" w:asciiTheme="minorEastAsia" w:hAnsiTheme="minorEastAsia" w:eastAsiaTheme="minorEastAsia"/>
                <w:spacing w:val="-1"/>
                <w:sz w:val="21"/>
                <w:szCs w:val="21"/>
                <w:lang w:eastAsia="zh-CN"/>
              </w:rPr>
              <w:t>废弃物处置</w:t>
            </w:r>
          </w:p>
        </w:tc>
        <w:tc>
          <w:tcPr>
            <w:tcW w:w="1759" w:type="dxa"/>
            <w:shd w:val="clear" w:color="auto" w:fill="auto"/>
            <w:vAlign w:val="center"/>
          </w:tcPr>
          <w:p w14:paraId="225BD740">
            <w:pPr>
              <w:jc w:val="center"/>
              <w:rPr>
                <w:rFonts w:hint="eastAsia" w:ascii="宋体" w:hAnsi="宋体"/>
                <w:snapToGrid w:val="0"/>
                <w:color w:val="000000"/>
                <w:sz w:val="22"/>
                <w:szCs w:val="24"/>
                <w:lang w:eastAsia="en-US"/>
              </w:rPr>
            </w:pPr>
            <w:r>
              <w:rPr>
                <w:rFonts w:hint="eastAsia" w:ascii="宋体" w:hAnsi="宋体"/>
                <w:snapToGrid w:val="0"/>
                <w:color w:val="000000"/>
                <w:sz w:val="22"/>
                <w:szCs w:val="24"/>
                <w:lang w:eastAsia="en-US"/>
              </w:rPr>
              <w:t>废除尘布袋</w:t>
            </w:r>
          </w:p>
        </w:tc>
        <w:tc>
          <w:tcPr>
            <w:tcW w:w="2017" w:type="dxa"/>
            <w:vAlign w:val="center"/>
          </w:tcPr>
          <w:p w14:paraId="385D6FFE">
            <w:pPr>
              <w:jc w:val="center"/>
              <w:rPr>
                <w:rFonts w:hint="eastAsia" w:cs="Times New Roman" w:asciiTheme="minorEastAsia" w:hAnsiTheme="minorEastAsia"/>
                <w:snapToGrid w:val="0"/>
                <w:color w:val="000000"/>
                <w:lang w:eastAsia="en-US"/>
              </w:rPr>
            </w:pPr>
            <w:r>
              <w:rPr>
                <w:rFonts w:hint="eastAsia" w:ascii="宋体" w:hAnsi="宋体"/>
                <w:snapToGrid w:val="0"/>
                <w:color w:val="000000"/>
                <w:sz w:val="20"/>
                <w:szCs w:val="24"/>
                <w:lang w:eastAsia="en-US"/>
              </w:rPr>
              <w:t>0.0001</w:t>
            </w:r>
          </w:p>
        </w:tc>
        <w:tc>
          <w:tcPr>
            <w:tcW w:w="1729" w:type="dxa"/>
            <w:vAlign w:val="center"/>
          </w:tcPr>
          <w:p w14:paraId="739E3086">
            <w:pPr>
              <w:pStyle w:val="22"/>
              <w:spacing w:line="0" w:lineRule="atLeast"/>
              <w:ind w:left="113"/>
              <w:jc w:val="center"/>
              <w:rPr>
                <w:rFonts w:hint="eastAsia" w:asciiTheme="minorEastAsia" w:hAnsiTheme="minorEastAsia" w:eastAsiaTheme="minorEastAsia"/>
                <w:spacing w:val="-1"/>
                <w:sz w:val="21"/>
                <w:szCs w:val="21"/>
              </w:rPr>
            </w:pPr>
            <w:r>
              <w:rPr>
                <w:rFonts w:asciiTheme="minorEastAsia" w:hAnsiTheme="minorEastAsia" w:eastAsiaTheme="minorEastAsia"/>
                <w:spacing w:val="-1"/>
                <w:sz w:val="21"/>
                <w:szCs w:val="21"/>
              </w:rPr>
              <w:t>回收再利用</w:t>
            </w:r>
          </w:p>
        </w:tc>
        <w:tc>
          <w:tcPr>
            <w:tcW w:w="2161" w:type="dxa"/>
            <w:vAlign w:val="center"/>
          </w:tcPr>
          <w:p w14:paraId="16B868F0">
            <w:pPr>
              <w:pStyle w:val="22"/>
              <w:spacing w:line="0" w:lineRule="atLeast"/>
              <w:ind w:left="113"/>
              <w:jc w:val="center"/>
              <w:rPr>
                <w:rFonts w:hint="eastAsia" w:asciiTheme="minorEastAsia" w:hAnsiTheme="minorEastAsia" w:eastAsiaTheme="minorEastAsia"/>
                <w:spacing w:val="-1"/>
                <w:sz w:val="21"/>
                <w:szCs w:val="21"/>
                <w:lang w:eastAsia="zh-CN"/>
              </w:rPr>
            </w:pPr>
            <w:r>
              <w:rPr>
                <w:rFonts w:hint="eastAsia" w:asciiTheme="minorEastAsia" w:hAnsiTheme="minorEastAsia" w:eastAsiaTheme="minorEastAsia"/>
                <w:spacing w:val="-1"/>
                <w:sz w:val="21"/>
                <w:szCs w:val="21"/>
                <w:lang w:eastAsia="zh-CN"/>
              </w:rPr>
              <w:t>韶关东江环保再生资源发展有限公司</w:t>
            </w:r>
          </w:p>
        </w:tc>
      </w:tr>
      <w:tr w14:paraId="63675DE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691" w:type="dxa"/>
            <w:vMerge w:val="continue"/>
            <w:tcBorders>
              <w:top w:val="nil"/>
              <w:bottom w:val="nil"/>
            </w:tcBorders>
            <w:vAlign w:val="center"/>
          </w:tcPr>
          <w:p w14:paraId="48DB32D8">
            <w:pPr>
              <w:pStyle w:val="22"/>
              <w:spacing w:line="0" w:lineRule="atLeast"/>
              <w:ind w:left="113"/>
              <w:jc w:val="center"/>
              <w:rPr>
                <w:rFonts w:hint="eastAsia" w:asciiTheme="minorEastAsia" w:hAnsiTheme="minorEastAsia" w:eastAsiaTheme="minorEastAsia"/>
                <w:spacing w:val="-1"/>
                <w:sz w:val="21"/>
                <w:szCs w:val="21"/>
                <w:lang w:eastAsia="zh-CN"/>
              </w:rPr>
            </w:pPr>
          </w:p>
        </w:tc>
        <w:tc>
          <w:tcPr>
            <w:tcW w:w="1759" w:type="dxa"/>
            <w:shd w:val="clear" w:color="auto" w:fill="auto"/>
            <w:vAlign w:val="center"/>
          </w:tcPr>
          <w:p w14:paraId="1C3A5C2B">
            <w:pPr>
              <w:jc w:val="center"/>
              <w:rPr>
                <w:rFonts w:hint="eastAsia" w:ascii="宋体" w:hAnsi="宋体"/>
                <w:snapToGrid w:val="0"/>
                <w:color w:val="000000"/>
                <w:sz w:val="22"/>
                <w:szCs w:val="24"/>
                <w:lang w:eastAsia="en-US"/>
              </w:rPr>
            </w:pPr>
            <w:r>
              <w:rPr>
                <w:rFonts w:hint="eastAsia" w:ascii="宋体" w:hAnsi="宋体"/>
                <w:snapToGrid w:val="0"/>
                <w:color w:val="000000"/>
                <w:sz w:val="22"/>
                <w:szCs w:val="24"/>
                <w:lang w:eastAsia="en-US"/>
              </w:rPr>
              <w:t>废石棉</w:t>
            </w:r>
          </w:p>
        </w:tc>
        <w:tc>
          <w:tcPr>
            <w:tcW w:w="2017" w:type="dxa"/>
            <w:vAlign w:val="center"/>
          </w:tcPr>
          <w:p w14:paraId="05EE8CFB">
            <w:pPr>
              <w:jc w:val="center"/>
              <w:rPr>
                <w:rFonts w:hint="eastAsia" w:cs="Times New Roman" w:asciiTheme="minorEastAsia" w:hAnsiTheme="minorEastAsia"/>
                <w:snapToGrid w:val="0"/>
                <w:color w:val="000000"/>
                <w:lang w:eastAsia="en-US"/>
              </w:rPr>
            </w:pPr>
            <w:r>
              <w:rPr>
                <w:rFonts w:hint="eastAsia" w:ascii="宋体" w:hAnsi="宋体"/>
                <w:snapToGrid w:val="0"/>
                <w:color w:val="000000"/>
                <w:sz w:val="20"/>
                <w:szCs w:val="24"/>
                <w:lang w:eastAsia="en-US"/>
              </w:rPr>
              <w:t>0.0001</w:t>
            </w:r>
          </w:p>
        </w:tc>
        <w:tc>
          <w:tcPr>
            <w:tcW w:w="1729" w:type="dxa"/>
            <w:vAlign w:val="center"/>
          </w:tcPr>
          <w:p w14:paraId="2BA324DE">
            <w:pPr>
              <w:pStyle w:val="22"/>
              <w:spacing w:line="0" w:lineRule="atLeast"/>
              <w:ind w:left="113"/>
              <w:jc w:val="center"/>
              <w:rPr>
                <w:rFonts w:hint="eastAsia" w:asciiTheme="minorEastAsia" w:hAnsiTheme="minorEastAsia" w:eastAsiaTheme="minorEastAsia"/>
                <w:spacing w:val="-1"/>
                <w:sz w:val="21"/>
                <w:szCs w:val="21"/>
              </w:rPr>
            </w:pPr>
            <w:r>
              <w:rPr>
                <w:rFonts w:asciiTheme="minorEastAsia" w:hAnsiTheme="minorEastAsia" w:eastAsiaTheme="minorEastAsia"/>
                <w:spacing w:val="-1"/>
                <w:sz w:val="21"/>
                <w:szCs w:val="21"/>
              </w:rPr>
              <w:t>回收再利用</w:t>
            </w:r>
          </w:p>
        </w:tc>
        <w:tc>
          <w:tcPr>
            <w:tcW w:w="2161" w:type="dxa"/>
            <w:vAlign w:val="center"/>
          </w:tcPr>
          <w:p w14:paraId="2CCA2E85">
            <w:pPr>
              <w:pStyle w:val="22"/>
              <w:spacing w:line="0" w:lineRule="atLeast"/>
              <w:ind w:left="113"/>
              <w:jc w:val="center"/>
              <w:rPr>
                <w:rFonts w:hint="eastAsia" w:asciiTheme="minorEastAsia" w:hAnsiTheme="minorEastAsia" w:eastAsiaTheme="minorEastAsia"/>
                <w:spacing w:val="-1"/>
                <w:sz w:val="21"/>
                <w:szCs w:val="21"/>
                <w:lang w:eastAsia="zh-CN"/>
              </w:rPr>
            </w:pPr>
            <w:r>
              <w:rPr>
                <w:rFonts w:hint="eastAsia" w:asciiTheme="minorEastAsia" w:hAnsiTheme="minorEastAsia" w:eastAsiaTheme="minorEastAsia"/>
                <w:spacing w:val="-1"/>
                <w:sz w:val="21"/>
                <w:szCs w:val="21"/>
                <w:lang w:eastAsia="zh-CN"/>
              </w:rPr>
              <w:t>韶关东江环保再生资源发展有限公司</w:t>
            </w:r>
          </w:p>
        </w:tc>
      </w:tr>
      <w:tr w14:paraId="01EBCB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691" w:type="dxa"/>
            <w:vMerge w:val="continue"/>
            <w:tcBorders>
              <w:top w:val="nil"/>
              <w:bottom w:val="nil"/>
            </w:tcBorders>
            <w:vAlign w:val="center"/>
          </w:tcPr>
          <w:p w14:paraId="0F8B8DD1">
            <w:pPr>
              <w:pStyle w:val="22"/>
              <w:spacing w:line="0" w:lineRule="atLeast"/>
              <w:ind w:left="113"/>
              <w:jc w:val="center"/>
              <w:rPr>
                <w:rFonts w:hint="eastAsia" w:asciiTheme="minorEastAsia" w:hAnsiTheme="minorEastAsia" w:eastAsiaTheme="minorEastAsia"/>
                <w:spacing w:val="-1"/>
                <w:sz w:val="21"/>
                <w:szCs w:val="21"/>
                <w:lang w:eastAsia="zh-CN"/>
              </w:rPr>
            </w:pPr>
          </w:p>
        </w:tc>
        <w:tc>
          <w:tcPr>
            <w:tcW w:w="1759" w:type="dxa"/>
            <w:shd w:val="clear" w:color="auto" w:fill="auto"/>
            <w:vAlign w:val="center"/>
          </w:tcPr>
          <w:p w14:paraId="77CC454B">
            <w:pPr>
              <w:jc w:val="center"/>
              <w:rPr>
                <w:rFonts w:hint="eastAsia" w:ascii="宋体" w:hAnsi="宋体"/>
                <w:snapToGrid w:val="0"/>
                <w:color w:val="000000"/>
                <w:sz w:val="22"/>
                <w:szCs w:val="24"/>
                <w:lang w:eastAsia="en-US"/>
              </w:rPr>
            </w:pPr>
            <w:r>
              <w:rPr>
                <w:rFonts w:hint="eastAsia" w:ascii="宋体" w:hAnsi="宋体"/>
                <w:snapToGrid w:val="0"/>
                <w:color w:val="000000"/>
                <w:sz w:val="22"/>
                <w:szCs w:val="24"/>
                <w:lang w:eastAsia="en-US"/>
              </w:rPr>
              <w:t>废矿物油</w:t>
            </w:r>
          </w:p>
        </w:tc>
        <w:tc>
          <w:tcPr>
            <w:tcW w:w="2017" w:type="dxa"/>
            <w:vAlign w:val="center"/>
          </w:tcPr>
          <w:p w14:paraId="728B3B30">
            <w:pPr>
              <w:jc w:val="center"/>
              <w:rPr>
                <w:rFonts w:hint="eastAsia" w:cs="Times New Roman" w:asciiTheme="minorEastAsia" w:hAnsiTheme="minorEastAsia"/>
                <w:snapToGrid w:val="0"/>
                <w:color w:val="000000"/>
                <w:lang w:eastAsia="en-US"/>
              </w:rPr>
            </w:pPr>
            <w:r>
              <w:rPr>
                <w:rFonts w:hint="eastAsia" w:ascii="宋体" w:hAnsi="宋体"/>
                <w:snapToGrid w:val="0"/>
                <w:color w:val="000000"/>
                <w:sz w:val="20"/>
                <w:szCs w:val="24"/>
                <w:lang w:eastAsia="en-US"/>
              </w:rPr>
              <w:t>0.0005</w:t>
            </w:r>
          </w:p>
        </w:tc>
        <w:tc>
          <w:tcPr>
            <w:tcW w:w="1729" w:type="dxa"/>
            <w:vAlign w:val="center"/>
          </w:tcPr>
          <w:p w14:paraId="626AA4D6">
            <w:pPr>
              <w:pStyle w:val="22"/>
              <w:spacing w:line="0" w:lineRule="atLeast"/>
              <w:ind w:left="113"/>
              <w:jc w:val="center"/>
              <w:rPr>
                <w:rFonts w:hint="eastAsia" w:asciiTheme="minorEastAsia" w:hAnsiTheme="minorEastAsia" w:eastAsiaTheme="minorEastAsia"/>
                <w:spacing w:val="-1"/>
                <w:sz w:val="21"/>
                <w:szCs w:val="21"/>
              </w:rPr>
            </w:pPr>
            <w:r>
              <w:rPr>
                <w:rFonts w:asciiTheme="minorEastAsia" w:hAnsiTheme="minorEastAsia" w:eastAsiaTheme="minorEastAsia"/>
                <w:spacing w:val="-1"/>
                <w:sz w:val="21"/>
                <w:szCs w:val="21"/>
              </w:rPr>
              <w:t>回收再利用</w:t>
            </w:r>
          </w:p>
        </w:tc>
        <w:tc>
          <w:tcPr>
            <w:tcW w:w="2161" w:type="dxa"/>
            <w:vAlign w:val="center"/>
          </w:tcPr>
          <w:p w14:paraId="30427E15">
            <w:pPr>
              <w:pStyle w:val="22"/>
              <w:spacing w:line="0" w:lineRule="atLeast"/>
              <w:ind w:left="113"/>
              <w:jc w:val="center"/>
              <w:rPr>
                <w:rFonts w:hint="eastAsia" w:asciiTheme="minorEastAsia" w:hAnsiTheme="minorEastAsia" w:eastAsiaTheme="minorEastAsia"/>
                <w:spacing w:val="-1"/>
                <w:sz w:val="21"/>
                <w:szCs w:val="21"/>
                <w:lang w:eastAsia="zh-CN"/>
              </w:rPr>
            </w:pPr>
            <w:r>
              <w:rPr>
                <w:rFonts w:hint="eastAsia" w:asciiTheme="minorEastAsia" w:hAnsiTheme="minorEastAsia" w:eastAsiaTheme="minorEastAsia"/>
                <w:spacing w:val="-1"/>
                <w:sz w:val="21"/>
                <w:szCs w:val="21"/>
                <w:lang w:eastAsia="zh-CN"/>
              </w:rPr>
              <w:t>珠海市斗门区永兴盛环保工业废弃物回收综合处理有限公司</w:t>
            </w:r>
          </w:p>
        </w:tc>
      </w:tr>
      <w:tr w14:paraId="13912B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691" w:type="dxa"/>
            <w:vMerge w:val="continue"/>
            <w:tcBorders>
              <w:top w:val="nil"/>
              <w:bottom w:val="nil"/>
            </w:tcBorders>
            <w:vAlign w:val="center"/>
          </w:tcPr>
          <w:p w14:paraId="4DE6740C">
            <w:pPr>
              <w:pStyle w:val="22"/>
              <w:spacing w:line="0" w:lineRule="atLeast"/>
              <w:ind w:left="113"/>
              <w:jc w:val="center"/>
              <w:rPr>
                <w:rFonts w:hint="eastAsia" w:asciiTheme="minorEastAsia" w:hAnsiTheme="minorEastAsia" w:eastAsiaTheme="minorEastAsia"/>
                <w:spacing w:val="-1"/>
                <w:sz w:val="21"/>
                <w:szCs w:val="21"/>
                <w:lang w:eastAsia="zh-CN"/>
              </w:rPr>
            </w:pPr>
          </w:p>
        </w:tc>
        <w:tc>
          <w:tcPr>
            <w:tcW w:w="1759" w:type="dxa"/>
            <w:shd w:val="clear" w:color="auto" w:fill="auto"/>
            <w:vAlign w:val="center"/>
          </w:tcPr>
          <w:p w14:paraId="1CFEDD76">
            <w:pPr>
              <w:jc w:val="center"/>
              <w:rPr>
                <w:rFonts w:hint="eastAsia" w:ascii="宋体" w:hAnsi="宋体"/>
                <w:snapToGrid w:val="0"/>
                <w:color w:val="000000"/>
                <w:sz w:val="22"/>
                <w:szCs w:val="24"/>
                <w:lang w:eastAsia="en-US"/>
              </w:rPr>
            </w:pPr>
            <w:r>
              <w:rPr>
                <w:rFonts w:hint="eastAsia" w:ascii="宋体" w:hAnsi="宋体"/>
                <w:snapToGrid w:val="0"/>
                <w:color w:val="000000"/>
                <w:sz w:val="22"/>
                <w:szCs w:val="24"/>
                <w:lang w:eastAsia="en-US"/>
              </w:rPr>
              <w:t>含油废渣</w:t>
            </w:r>
          </w:p>
        </w:tc>
        <w:tc>
          <w:tcPr>
            <w:tcW w:w="2017" w:type="dxa"/>
            <w:vAlign w:val="center"/>
          </w:tcPr>
          <w:p w14:paraId="7882ADF6">
            <w:pPr>
              <w:jc w:val="center"/>
              <w:rPr>
                <w:rFonts w:hint="eastAsia" w:cs="Times New Roman" w:asciiTheme="minorEastAsia" w:hAnsiTheme="minorEastAsia"/>
                <w:snapToGrid w:val="0"/>
                <w:color w:val="000000"/>
                <w:lang w:eastAsia="en-US"/>
              </w:rPr>
            </w:pPr>
            <w:r>
              <w:rPr>
                <w:rFonts w:hint="eastAsia" w:ascii="宋体" w:hAnsi="宋体"/>
                <w:snapToGrid w:val="0"/>
                <w:color w:val="000000"/>
                <w:sz w:val="20"/>
                <w:szCs w:val="24"/>
                <w:lang w:eastAsia="en-US"/>
              </w:rPr>
              <w:t>0.0000</w:t>
            </w:r>
          </w:p>
        </w:tc>
        <w:tc>
          <w:tcPr>
            <w:tcW w:w="1729" w:type="dxa"/>
            <w:vAlign w:val="center"/>
          </w:tcPr>
          <w:p w14:paraId="4858BC1D">
            <w:pPr>
              <w:pStyle w:val="22"/>
              <w:spacing w:line="0" w:lineRule="atLeast"/>
              <w:ind w:left="113"/>
              <w:jc w:val="center"/>
              <w:rPr>
                <w:rFonts w:hint="eastAsia" w:asciiTheme="minorEastAsia" w:hAnsiTheme="minorEastAsia" w:eastAsiaTheme="minorEastAsia"/>
                <w:spacing w:val="-1"/>
                <w:sz w:val="21"/>
                <w:szCs w:val="21"/>
              </w:rPr>
            </w:pPr>
            <w:r>
              <w:rPr>
                <w:rFonts w:asciiTheme="minorEastAsia" w:hAnsiTheme="minorEastAsia" w:eastAsiaTheme="minorEastAsia"/>
                <w:spacing w:val="-1"/>
                <w:sz w:val="21"/>
                <w:szCs w:val="21"/>
              </w:rPr>
              <w:t>回收再利用</w:t>
            </w:r>
          </w:p>
        </w:tc>
        <w:tc>
          <w:tcPr>
            <w:tcW w:w="2161" w:type="dxa"/>
            <w:vAlign w:val="center"/>
          </w:tcPr>
          <w:p w14:paraId="0F358738">
            <w:pPr>
              <w:pStyle w:val="22"/>
              <w:spacing w:line="0" w:lineRule="atLeast"/>
              <w:ind w:left="113"/>
              <w:jc w:val="center"/>
              <w:rPr>
                <w:rFonts w:hint="eastAsia" w:asciiTheme="minorEastAsia" w:hAnsiTheme="minorEastAsia" w:eastAsiaTheme="minorEastAsia"/>
                <w:spacing w:val="-1"/>
                <w:sz w:val="21"/>
                <w:szCs w:val="21"/>
                <w:lang w:eastAsia="zh-CN"/>
              </w:rPr>
            </w:pPr>
            <w:r>
              <w:rPr>
                <w:rFonts w:hint="eastAsia" w:asciiTheme="minorEastAsia" w:hAnsiTheme="minorEastAsia" w:eastAsiaTheme="minorEastAsia"/>
                <w:spacing w:val="-1"/>
                <w:sz w:val="21"/>
                <w:szCs w:val="21"/>
                <w:lang w:eastAsia="zh-CN"/>
              </w:rPr>
              <w:t>韶关东江环保再生资源发展有限公司</w:t>
            </w:r>
          </w:p>
        </w:tc>
      </w:tr>
      <w:tr w14:paraId="448CE0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691" w:type="dxa"/>
            <w:vMerge w:val="continue"/>
            <w:tcBorders>
              <w:top w:val="nil"/>
              <w:bottom w:val="nil"/>
            </w:tcBorders>
            <w:vAlign w:val="center"/>
          </w:tcPr>
          <w:p w14:paraId="43367559">
            <w:pPr>
              <w:pStyle w:val="22"/>
              <w:spacing w:line="0" w:lineRule="atLeast"/>
              <w:ind w:left="113"/>
              <w:jc w:val="center"/>
              <w:rPr>
                <w:rFonts w:hint="eastAsia" w:asciiTheme="minorEastAsia" w:hAnsiTheme="minorEastAsia" w:eastAsiaTheme="minorEastAsia"/>
                <w:spacing w:val="-1"/>
                <w:sz w:val="21"/>
                <w:szCs w:val="21"/>
                <w:lang w:eastAsia="zh-CN"/>
              </w:rPr>
            </w:pPr>
          </w:p>
        </w:tc>
        <w:tc>
          <w:tcPr>
            <w:tcW w:w="1759" w:type="dxa"/>
            <w:shd w:val="clear" w:color="auto" w:fill="auto"/>
            <w:vAlign w:val="center"/>
          </w:tcPr>
          <w:p w14:paraId="1B40AB67">
            <w:pPr>
              <w:jc w:val="center"/>
              <w:rPr>
                <w:rFonts w:hint="eastAsia" w:ascii="宋体" w:hAnsi="宋体"/>
                <w:snapToGrid w:val="0"/>
                <w:color w:val="000000"/>
                <w:sz w:val="22"/>
                <w:szCs w:val="24"/>
                <w:lang w:eastAsia="en-US"/>
              </w:rPr>
            </w:pPr>
            <w:r>
              <w:rPr>
                <w:rFonts w:hint="eastAsia" w:ascii="宋体" w:hAnsi="宋体"/>
                <w:snapToGrid w:val="0"/>
                <w:color w:val="000000"/>
                <w:sz w:val="22"/>
                <w:szCs w:val="24"/>
                <w:lang w:eastAsia="en-US"/>
              </w:rPr>
              <w:t>废线路板</w:t>
            </w:r>
          </w:p>
        </w:tc>
        <w:tc>
          <w:tcPr>
            <w:tcW w:w="2017" w:type="dxa"/>
            <w:vAlign w:val="center"/>
          </w:tcPr>
          <w:p w14:paraId="1AFC609E">
            <w:pPr>
              <w:jc w:val="center"/>
              <w:rPr>
                <w:rFonts w:hint="eastAsia" w:cs="Times New Roman" w:asciiTheme="minorEastAsia" w:hAnsiTheme="minorEastAsia"/>
                <w:snapToGrid w:val="0"/>
                <w:color w:val="000000"/>
                <w:lang w:eastAsia="en-US"/>
              </w:rPr>
            </w:pPr>
            <w:r>
              <w:rPr>
                <w:rFonts w:hint="eastAsia" w:ascii="宋体" w:hAnsi="宋体"/>
                <w:snapToGrid w:val="0"/>
                <w:color w:val="000000"/>
                <w:sz w:val="20"/>
                <w:szCs w:val="24"/>
                <w:lang w:eastAsia="en-US"/>
              </w:rPr>
              <w:t>0.0000</w:t>
            </w:r>
          </w:p>
        </w:tc>
        <w:tc>
          <w:tcPr>
            <w:tcW w:w="1729" w:type="dxa"/>
            <w:vAlign w:val="center"/>
          </w:tcPr>
          <w:p w14:paraId="5F134AD7">
            <w:pPr>
              <w:pStyle w:val="22"/>
              <w:spacing w:line="0" w:lineRule="atLeast"/>
              <w:ind w:left="113"/>
              <w:jc w:val="center"/>
              <w:rPr>
                <w:rFonts w:hint="eastAsia" w:asciiTheme="minorEastAsia" w:hAnsiTheme="minorEastAsia" w:eastAsiaTheme="minorEastAsia"/>
                <w:spacing w:val="-1"/>
                <w:sz w:val="21"/>
                <w:szCs w:val="21"/>
              </w:rPr>
            </w:pPr>
            <w:r>
              <w:rPr>
                <w:rFonts w:asciiTheme="minorEastAsia" w:hAnsiTheme="minorEastAsia" w:eastAsiaTheme="minorEastAsia"/>
                <w:spacing w:val="-1"/>
                <w:sz w:val="21"/>
                <w:szCs w:val="21"/>
              </w:rPr>
              <w:t>回收再利用</w:t>
            </w:r>
          </w:p>
        </w:tc>
        <w:tc>
          <w:tcPr>
            <w:tcW w:w="2161" w:type="dxa"/>
            <w:vAlign w:val="center"/>
          </w:tcPr>
          <w:p w14:paraId="022AF1DA">
            <w:pPr>
              <w:pStyle w:val="22"/>
              <w:spacing w:line="0" w:lineRule="atLeast"/>
              <w:ind w:left="113"/>
              <w:jc w:val="center"/>
              <w:rPr>
                <w:rFonts w:hint="eastAsia" w:asciiTheme="minorEastAsia" w:hAnsiTheme="minorEastAsia" w:eastAsiaTheme="minorEastAsia"/>
                <w:spacing w:val="-1"/>
                <w:sz w:val="21"/>
                <w:szCs w:val="21"/>
                <w:lang w:eastAsia="zh-CN"/>
              </w:rPr>
            </w:pPr>
            <w:r>
              <w:rPr>
                <w:rFonts w:hint="eastAsia" w:asciiTheme="minorEastAsia" w:hAnsiTheme="minorEastAsia" w:eastAsiaTheme="minorEastAsia"/>
                <w:spacing w:val="-1"/>
                <w:sz w:val="21"/>
                <w:szCs w:val="21"/>
                <w:lang w:eastAsia="zh-CN"/>
              </w:rPr>
              <w:t>韶关东江环保再生资源发展有限公司</w:t>
            </w:r>
          </w:p>
        </w:tc>
      </w:tr>
      <w:tr w14:paraId="327BF4F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691" w:type="dxa"/>
            <w:vMerge w:val="continue"/>
            <w:tcBorders>
              <w:top w:val="nil"/>
              <w:bottom w:val="nil"/>
            </w:tcBorders>
            <w:vAlign w:val="center"/>
          </w:tcPr>
          <w:p w14:paraId="6B822AF1">
            <w:pPr>
              <w:pStyle w:val="22"/>
              <w:spacing w:line="0" w:lineRule="atLeast"/>
              <w:ind w:left="113"/>
              <w:jc w:val="center"/>
              <w:rPr>
                <w:rFonts w:hint="eastAsia" w:asciiTheme="minorEastAsia" w:hAnsiTheme="minorEastAsia" w:eastAsiaTheme="minorEastAsia"/>
                <w:spacing w:val="-1"/>
                <w:sz w:val="21"/>
                <w:szCs w:val="21"/>
                <w:lang w:eastAsia="zh-CN"/>
              </w:rPr>
            </w:pPr>
          </w:p>
        </w:tc>
        <w:tc>
          <w:tcPr>
            <w:tcW w:w="1759" w:type="dxa"/>
            <w:vAlign w:val="center"/>
          </w:tcPr>
          <w:p w14:paraId="7BB660A6">
            <w:pPr>
              <w:pStyle w:val="22"/>
              <w:spacing w:line="0" w:lineRule="atLeast"/>
              <w:ind w:left="113"/>
              <w:jc w:val="center"/>
              <w:rPr>
                <w:rFonts w:hint="eastAsia" w:asciiTheme="minorEastAsia" w:hAnsiTheme="minorEastAsia" w:eastAsiaTheme="minorEastAsia"/>
                <w:spacing w:val="-1"/>
                <w:sz w:val="21"/>
                <w:szCs w:val="21"/>
                <w:lang w:eastAsia="zh-CN"/>
              </w:rPr>
            </w:pPr>
            <w:r>
              <w:rPr>
                <w:rFonts w:asciiTheme="minorEastAsia" w:hAnsiTheme="minorEastAsia" w:eastAsiaTheme="minorEastAsia"/>
                <w:spacing w:val="-1"/>
                <w:sz w:val="21"/>
                <w:szCs w:val="21"/>
                <w:lang w:eastAsia="zh-CN"/>
              </w:rPr>
              <w:t>铝</w:t>
            </w:r>
            <w:r>
              <w:rPr>
                <w:rFonts w:hint="eastAsia" w:asciiTheme="minorEastAsia" w:hAnsiTheme="minorEastAsia" w:eastAsiaTheme="minorEastAsia"/>
                <w:spacing w:val="-1"/>
                <w:sz w:val="21"/>
                <w:szCs w:val="21"/>
                <w:lang w:eastAsia="zh-CN"/>
              </w:rPr>
              <w:t xml:space="preserve">  </w:t>
            </w:r>
            <w:r>
              <w:rPr>
                <w:rFonts w:asciiTheme="minorEastAsia" w:hAnsiTheme="minorEastAsia" w:eastAsiaTheme="minorEastAsia"/>
                <w:spacing w:val="-1"/>
                <w:sz w:val="21"/>
                <w:szCs w:val="21"/>
                <w:lang w:eastAsia="zh-CN"/>
              </w:rPr>
              <w:t>渣</w:t>
            </w:r>
          </w:p>
        </w:tc>
        <w:tc>
          <w:tcPr>
            <w:tcW w:w="2017" w:type="dxa"/>
            <w:vAlign w:val="center"/>
          </w:tcPr>
          <w:p w14:paraId="1EA6BF4F">
            <w:pPr>
              <w:jc w:val="center"/>
              <w:rPr>
                <w:rFonts w:hint="eastAsia" w:cs="Times New Roman" w:asciiTheme="minorEastAsia" w:hAnsiTheme="minorEastAsia"/>
                <w:snapToGrid w:val="0"/>
                <w:color w:val="000000"/>
                <w:lang w:eastAsia="en-US"/>
              </w:rPr>
            </w:pPr>
            <w:r>
              <w:rPr>
                <w:rFonts w:hint="eastAsia" w:cs="Times New Roman" w:asciiTheme="minorEastAsia" w:hAnsiTheme="minorEastAsia"/>
                <w:snapToGrid w:val="0"/>
                <w:color w:val="000000"/>
                <w:lang w:eastAsia="en-US"/>
              </w:rPr>
              <w:t>0.0003</w:t>
            </w:r>
          </w:p>
        </w:tc>
        <w:tc>
          <w:tcPr>
            <w:tcW w:w="1729" w:type="dxa"/>
            <w:vAlign w:val="center"/>
          </w:tcPr>
          <w:p w14:paraId="7E060F0A">
            <w:pPr>
              <w:pStyle w:val="22"/>
              <w:spacing w:line="0" w:lineRule="atLeast"/>
              <w:ind w:left="113"/>
              <w:jc w:val="center"/>
              <w:rPr>
                <w:rFonts w:hint="eastAsia" w:asciiTheme="minorEastAsia" w:hAnsiTheme="minorEastAsia" w:eastAsiaTheme="minorEastAsia"/>
                <w:spacing w:val="-1"/>
                <w:sz w:val="21"/>
                <w:szCs w:val="21"/>
              </w:rPr>
            </w:pPr>
            <w:r>
              <w:rPr>
                <w:rFonts w:asciiTheme="minorEastAsia" w:hAnsiTheme="minorEastAsia" w:eastAsiaTheme="minorEastAsia"/>
                <w:spacing w:val="-1"/>
                <w:sz w:val="21"/>
                <w:szCs w:val="21"/>
              </w:rPr>
              <w:t>回收再利用</w:t>
            </w:r>
          </w:p>
        </w:tc>
        <w:tc>
          <w:tcPr>
            <w:tcW w:w="2161" w:type="dxa"/>
            <w:vAlign w:val="center"/>
          </w:tcPr>
          <w:p w14:paraId="497BEE90">
            <w:pPr>
              <w:pStyle w:val="22"/>
              <w:spacing w:line="0" w:lineRule="atLeast"/>
              <w:ind w:left="113"/>
              <w:jc w:val="center"/>
              <w:rPr>
                <w:rFonts w:hint="eastAsia" w:cs="Times New Roman" w:asciiTheme="minorEastAsia" w:hAnsiTheme="minorEastAsia" w:eastAsiaTheme="minorEastAsia"/>
                <w:kern w:val="2"/>
                <w:sz w:val="21"/>
                <w:szCs w:val="21"/>
                <w:lang w:eastAsia="zh-CN"/>
              </w:rPr>
            </w:pPr>
            <w:r>
              <w:rPr>
                <w:rFonts w:hint="eastAsia" w:cs="Times New Roman" w:asciiTheme="minorEastAsia" w:hAnsiTheme="minorEastAsia" w:eastAsiaTheme="minorEastAsia"/>
                <w:kern w:val="2"/>
                <w:sz w:val="21"/>
                <w:szCs w:val="21"/>
                <w:lang w:eastAsia="zh-CN"/>
              </w:rPr>
              <w:t>广西循复再生资源有限公司</w:t>
            </w:r>
          </w:p>
        </w:tc>
      </w:tr>
      <w:tr w14:paraId="11B722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1" w:hRule="atLeast"/>
        </w:trPr>
        <w:tc>
          <w:tcPr>
            <w:tcW w:w="691" w:type="dxa"/>
            <w:vMerge w:val="continue"/>
            <w:tcBorders>
              <w:top w:val="nil"/>
            </w:tcBorders>
            <w:vAlign w:val="center"/>
          </w:tcPr>
          <w:p w14:paraId="587060DF">
            <w:pPr>
              <w:pStyle w:val="22"/>
              <w:spacing w:line="0" w:lineRule="atLeast"/>
              <w:ind w:left="113"/>
              <w:jc w:val="center"/>
              <w:rPr>
                <w:rFonts w:hint="eastAsia" w:asciiTheme="minorEastAsia" w:hAnsiTheme="minorEastAsia" w:eastAsiaTheme="minorEastAsia"/>
                <w:spacing w:val="-1"/>
                <w:sz w:val="21"/>
                <w:szCs w:val="21"/>
                <w:lang w:eastAsia="zh-CN"/>
              </w:rPr>
            </w:pPr>
          </w:p>
        </w:tc>
        <w:tc>
          <w:tcPr>
            <w:tcW w:w="1759" w:type="dxa"/>
            <w:vAlign w:val="center"/>
          </w:tcPr>
          <w:p w14:paraId="6A412200">
            <w:pPr>
              <w:pStyle w:val="22"/>
              <w:spacing w:line="0" w:lineRule="atLeast"/>
              <w:ind w:left="113"/>
              <w:jc w:val="center"/>
              <w:rPr>
                <w:rFonts w:hint="eastAsia" w:asciiTheme="minorEastAsia" w:hAnsiTheme="minorEastAsia" w:eastAsiaTheme="minorEastAsia"/>
                <w:spacing w:val="-1"/>
                <w:sz w:val="21"/>
                <w:szCs w:val="21"/>
                <w:lang w:eastAsia="zh-CN"/>
              </w:rPr>
            </w:pPr>
            <w:r>
              <w:rPr>
                <w:rFonts w:asciiTheme="minorEastAsia" w:hAnsiTheme="minorEastAsia" w:eastAsiaTheme="minorEastAsia"/>
                <w:spacing w:val="-1"/>
                <w:sz w:val="21"/>
                <w:szCs w:val="21"/>
                <w:lang w:eastAsia="zh-CN"/>
              </w:rPr>
              <w:t>除尘灰</w:t>
            </w:r>
          </w:p>
        </w:tc>
        <w:tc>
          <w:tcPr>
            <w:tcW w:w="2017" w:type="dxa"/>
            <w:vAlign w:val="center"/>
          </w:tcPr>
          <w:p w14:paraId="5FC255C8">
            <w:pPr>
              <w:jc w:val="center"/>
              <w:rPr>
                <w:rFonts w:hint="eastAsia" w:cs="Times New Roman" w:asciiTheme="minorEastAsia" w:hAnsiTheme="minorEastAsia"/>
                <w:snapToGrid w:val="0"/>
                <w:color w:val="000000"/>
                <w:lang w:eastAsia="en-US"/>
              </w:rPr>
            </w:pPr>
            <w:r>
              <w:rPr>
                <w:rFonts w:hint="eastAsia" w:cs="Times New Roman" w:asciiTheme="minorEastAsia" w:hAnsiTheme="minorEastAsia"/>
                <w:snapToGrid w:val="0"/>
                <w:color w:val="000000"/>
                <w:lang w:eastAsia="en-US"/>
              </w:rPr>
              <w:t>0.0018</w:t>
            </w:r>
          </w:p>
        </w:tc>
        <w:tc>
          <w:tcPr>
            <w:tcW w:w="1729" w:type="dxa"/>
            <w:vAlign w:val="center"/>
          </w:tcPr>
          <w:p w14:paraId="3D61B631">
            <w:pPr>
              <w:pStyle w:val="22"/>
              <w:spacing w:line="0" w:lineRule="atLeast"/>
              <w:ind w:left="113"/>
              <w:jc w:val="center"/>
              <w:rPr>
                <w:rFonts w:hint="eastAsia" w:asciiTheme="minorEastAsia" w:hAnsiTheme="minorEastAsia" w:eastAsiaTheme="minorEastAsia"/>
                <w:spacing w:val="-1"/>
                <w:sz w:val="21"/>
                <w:szCs w:val="21"/>
              </w:rPr>
            </w:pPr>
            <w:r>
              <w:rPr>
                <w:rFonts w:asciiTheme="minorEastAsia" w:hAnsiTheme="minorEastAsia" w:eastAsiaTheme="minorEastAsia"/>
                <w:spacing w:val="-1"/>
                <w:sz w:val="21"/>
                <w:szCs w:val="21"/>
              </w:rPr>
              <w:t>回收再利用</w:t>
            </w:r>
          </w:p>
        </w:tc>
        <w:tc>
          <w:tcPr>
            <w:tcW w:w="2161" w:type="dxa"/>
            <w:vAlign w:val="center"/>
          </w:tcPr>
          <w:p w14:paraId="68975C27">
            <w:pPr>
              <w:pStyle w:val="22"/>
              <w:spacing w:line="0" w:lineRule="atLeast"/>
              <w:ind w:left="113"/>
              <w:jc w:val="center"/>
              <w:rPr>
                <w:rFonts w:hint="eastAsia" w:cs="Times New Roman" w:asciiTheme="minorEastAsia" w:hAnsiTheme="minorEastAsia" w:eastAsiaTheme="minorEastAsia"/>
                <w:kern w:val="2"/>
                <w:sz w:val="21"/>
                <w:szCs w:val="21"/>
                <w:lang w:eastAsia="zh-CN"/>
              </w:rPr>
            </w:pPr>
            <w:r>
              <w:rPr>
                <w:rFonts w:hint="eastAsia" w:cs="Times New Roman" w:asciiTheme="minorEastAsia" w:hAnsiTheme="minorEastAsia" w:eastAsiaTheme="minorEastAsia"/>
                <w:kern w:val="2"/>
                <w:sz w:val="21"/>
                <w:szCs w:val="21"/>
                <w:lang w:eastAsia="zh-CN"/>
              </w:rPr>
              <w:t>广西循复再生资源有限公司</w:t>
            </w:r>
          </w:p>
        </w:tc>
      </w:tr>
    </w:tbl>
    <w:p w14:paraId="39B93C62">
      <w:pPr>
        <w:spacing w:before="156" w:beforeLines="50" w:line="360" w:lineRule="auto"/>
        <w:ind w:firstLine="1260" w:firstLineChars="450"/>
        <w:rPr>
          <w:rFonts w:hint="eastAsia" w:ascii="宋体" w:hAnsi="宋体"/>
          <w:sz w:val="24"/>
          <w:szCs w:val="24"/>
        </w:rPr>
      </w:pPr>
      <w:bookmarkStart w:id="2" w:name="_Toc26160"/>
      <w:r>
        <w:rPr>
          <w:rFonts w:hint="eastAsia"/>
          <w:sz w:val="28"/>
          <w:szCs w:val="28"/>
        </w:rPr>
        <w:t xml:space="preserve">       </w:t>
      </w:r>
      <w:r>
        <w:rPr>
          <w:rFonts w:hint="eastAsia" w:ascii="宋体" w:hAnsi="宋体"/>
          <w:sz w:val="24"/>
          <w:szCs w:val="24"/>
        </w:rPr>
        <w:t xml:space="preserve">表5 </w:t>
      </w:r>
      <w:r>
        <w:rPr>
          <w:rFonts w:hint="eastAsia" w:cs="宋体" w:asciiTheme="minorEastAsia" w:hAnsiTheme="minorEastAsia"/>
          <w:color w:val="000000"/>
          <w:kern w:val="0"/>
          <w:sz w:val="24"/>
          <w:szCs w:val="24"/>
        </w:rPr>
        <w:t>AC4C</w:t>
      </w:r>
      <w:r>
        <w:rPr>
          <w:rFonts w:ascii="宋体" w:hAnsi="宋体"/>
          <w:sz w:val="24"/>
          <w:szCs w:val="24"/>
        </w:rPr>
        <w:t>铝合金产品</w:t>
      </w:r>
      <w:r>
        <w:rPr>
          <w:rFonts w:hint="eastAsia" w:ascii="宋体" w:hAnsi="宋体"/>
          <w:sz w:val="24"/>
          <w:szCs w:val="24"/>
        </w:rPr>
        <w:t>生产过程</w:t>
      </w:r>
      <w:r>
        <w:rPr>
          <w:rFonts w:ascii="宋体" w:hAnsi="宋体"/>
          <w:sz w:val="24"/>
          <w:szCs w:val="24"/>
        </w:rPr>
        <w:t>生命周期清单数据</w:t>
      </w:r>
    </w:p>
    <w:tbl>
      <w:tblPr>
        <w:tblStyle w:val="10"/>
        <w:tblW w:w="8378" w:type="dxa"/>
        <w:tblInd w:w="96" w:type="dxa"/>
        <w:tblLayout w:type="autofit"/>
        <w:tblCellMar>
          <w:top w:w="0" w:type="dxa"/>
          <w:left w:w="108" w:type="dxa"/>
          <w:bottom w:w="0" w:type="dxa"/>
          <w:right w:w="108" w:type="dxa"/>
        </w:tblCellMar>
      </w:tblPr>
      <w:tblGrid>
        <w:gridCol w:w="1847"/>
        <w:gridCol w:w="2012"/>
        <w:gridCol w:w="1666"/>
        <w:gridCol w:w="1232"/>
        <w:gridCol w:w="1621"/>
      </w:tblGrid>
      <w:tr w14:paraId="510422CD">
        <w:tblPrEx>
          <w:tblCellMar>
            <w:top w:w="0" w:type="dxa"/>
            <w:left w:w="108" w:type="dxa"/>
            <w:bottom w:w="0" w:type="dxa"/>
            <w:right w:w="108" w:type="dxa"/>
          </w:tblCellMar>
        </w:tblPrEx>
        <w:trPr>
          <w:trHeight w:val="791" w:hRule="atLeast"/>
        </w:trPr>
        <w:tc>
          <w:tcPr>
            <w:tcW w:w="1847" w:type="dxa"/>
            <w:tcBorders>
              <w:top w:val="single" w:color="000000" w:sz="4" w:space="0"/>
              <w:left w:val="single" w:color="000000" w:sz="4" w:space="0"/>
              <w:bottom w:val="single" w:color="000000" w:sz="4" w:space="0"/>
              <w:right w:val="single" w:color="000000" w:sz="4" w:space="0"/>
            </w:tcBorders>
            <w:shd w:val="clear" w:color="auto" w:fill="E26B0A"/>
            <w:noWrap/>
            <w:vAlign w:val="center"/>
          </w:tcPr>
          <w:p w14:paraId="124E3BAB">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过程</w:t>
            </w:r>
          </w:p>
        </w:tc>
        <w:tc>
          <w:tcPr>
            <w:tcW w:w="2012" w:type="dxa"/>
            <w:tcBorders>
              <w:top w:val="single" w:color="000000" w:sz="4" w:space="0"/>
              <w:left w:val="single" w:color="000000" w:sz="4" w:space="0"/>
              <w:bottom w:val="single" w:color="000000" w:sz="4" w:space="0"/>
              <w:right w:val="single" w:color="000000" w:sz="4" w:space="0"/>
            </w:tcBorders>
            <w:shd w:val="clear" w:color="auto" w:fill="E26B0A"/>
            <w:noWrap/>
            <w:vAlign w:val="center"/>
          </w:tcPr>
          <w:p w14:paraId="5E53CE36">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生命周期活动</w:t>
            </w:r>
          </w:p>
        </w:tc>
        <w:tc>
          <w:tcPr>
            <w:tcW w:w="1666" w:type="dxa"/>
            <w:tcBorders>
              <w:top w:val="single" w:color="000000" w:sz="4" w:space="0"/>
              <w:left w:val="single" w:color="000000" w:sz="4" w:space="0"/>
              <w:bottom w:val="single" w:color="000000" w:sz="4" w:space="0"/>
              <w:right w:val="single" w:color="000000" w:sz="4" w:space="0"/>
            </w:tcBorders>
            <w:shd w:val="clear" w:color="auto" w:fill="E26B0A"/>
            <w:noWrap/>
            <w:vAlign w:val="center"/>
          </w:tcPr>
          <w:p w14:paraId="501AC53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活动数据</w:t>
            </w:r>
          </w:p>
        </w:tc>
        <w:tc>
          <w:tcPr>
            <w:tcW w:w="1232" w:type="dxa"/>
            <w:tcBorders>
              <w:top w:val="single" w:color="000000" w:sz="4" w:space="0"/>
              <w:left w:val="single" w:color="000000" w:sz="4" w:space="0"/>
              <w:bottom w:val="single" w:color="000000" w:sz="4" w:space="0"/>
              <w:right w:val="single" w:color="000000" w:sz="4" w:space="0"/>
            </w:tcBorders>
            <w:shd w:val="clear" w:color="auto" w:fill="E26B0A"/>
            <w:noWrap/>
            <w:vAlign w:val="center"/>
          </w:tcPr>
          <w:p w14:paraId="2E0C690F">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单位</w:t>
            </w:r>
          </w:p>
        </w:tc>
        <w:tc>
          <w:tcPr>
            <w:tcW w:w="1621" w:type="dxa"/>
            <w:tcBorders>
              <w:top w:val="single" w:color="000000" w:sz="4" w:space="0"/>
              <w:left w:val="single" w:color="000000" w:sz="4" w:space="0"/>
              <w:bottom w:val="single" w:color="000000" w:sz="4" w:space="0"/>
              <w:right w:val="single" w:color="000000" w:sz="4" w:space="0"/>
            </w:tcBorders>
            <w:shd w:val="clear" w:color="auto" w:fill="E26B0A"/>
            <w:vAlign w:val="center"/>
          </w:tcPr>
          <w:p w14:paraId="2D272005">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碳足迹kgCO2e</w:t>
            </w:r>
          </w:p>
        </w:tc>
      </w:tr>
      <w:tr w14:paraId="22EAA46F">
        <w:tblPrEx>
          <w:tblCellMar>
            <w:top w:w="0" w:type="dxa"/>
            <w:left w:w="108" w:type="dxa"/>
            <w:bottom w:w="0" w:type="dxa"/>
            <w:right w:w="108" w:type="dxa"/>
          </w:tblCellMar>
        </w:tblPrEx>
        <w:trPr>
          <w:trHeight w:val="420" w:hRule="atLeast"/>
        </w:trPr>
        <w:tc>
          <w:tcPr>
            <w:tcW w:w="0" w:type="auto"/>
            <w:vMerge w:val="restart"/>
            <w:tcBorders>
              <w:top w:val="single" w:color="000000" w:sz="4" w:space="0"/>
              <w:left w:val="single" w:color="000000" w:sz="4" w:space="0"/>
              <w:bottom w:val="nil"/>
              <w:right w:val="single" w:color="000000" w:sz="4" w:space="0"/>
            </w:tcBorders>
            <w:shd w:val="clear" w:color="auto" w:fill="auto"/>
            <w:noWrap/>
            <w:vAlign w:val="center"/>
          </w:tcPr>
          <w:p w14:paraId="26B7FB2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原料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AB12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电解铝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A0E0A">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9.18E-01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59616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9DEF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1.45E+01</w:t>
            </w:r>
          </w:p>
        </w:tc>
      </w:tr>
      <w:tr w14:paraId="5B331566">
        <w:tblPrEx>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1EB30AD8">
            <w:pPr>
              <w:jc w:val="center"/>
              <w:rPr>
                <w:rFonts w:hint="eastAsia"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3D61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镁锭</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29E19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4.50E-03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11E06">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9ABD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1.45E-01</w:t>
            </w:r>
          </w:p>
        </w:tc>
      </w:tr>
      <w:tr w14:paraId="0B5D06E6">
        <w:tblPrEx>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nil"/>
              <w:right w:val="single" w:color="000000" w:sz="4" w:space="0"/>
            </w:tcBorders>
            <w:shd w:val="clear" w:color="auto" w:fill="auto"/>
            <w:noWrap/>
            <w:vAlign w:val="center"/>
          </w:tcPr>
          <w:p w14:paraId="51C8DB45">
            <w:pPr>
              <w:jc w:val="center"/>
              <w:rPr>
                <w:rFonts w:hint="eastAsia"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0D18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硅</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27A9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7.03E-02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E4B655">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3DAC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7.66E-01</w:t>
            </w:r>
          </w:p>
        </w:tc>
      </w:tr>
      <w:tr w14:paraId="4822AD97">
        <w:tblPrEx>
          <w:tblCellMar>
            <w:top w:w="0" w:type="dxa"/>
            <w:left w:w="108" w:type="dxa"/>
            <w:bottom w:w="0" w:type="dxa"/>
            <w:right w:w="108" w:type="dxa"/>
          </w:tblCellMar>
        </w:tblPrEx>
        <w:trPr>
          <w:trHeight w:val="4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DE49A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辅料</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D1418">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清渣剂</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B8909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1.50E-03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EFF3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0BF97">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1.10E-03</w:t>
            </w:r>
          </w:p>
        </w:tc>
      </w:tr>
      <w:tr w14:paraId="6A17BBAB">
        <w:tblPrEx>
          <w:tblCellMar>
            <w:top w:w="0" w:type="dxa"/>
            <w:left w:w="108" w:type="dxa"/>
            <w:bottom w:w="0" w:type="dxa"/>
            <w:right w:w="108" w:type="dxa"/>
          </w:tblCellMar>
        </w:tblPrEx>
        <w:trPr>
          <w:trHeight w:val="43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A5A5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运输</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979D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陆运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637DFA">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3.20E-01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4AFF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tkm</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08AB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3.99E-02</w:t>
            </w:r>
          </w:p>
        </w:tc>
      </w:tr>
      <w:tr w14:paraId="417B53CA">
        <w:tblPrEx>
          <w:tblCellMar>
            <w:top w:w="0" w:type="dxa"/>
            <w:left w:w="108" w:type="dxa"/>
            <w:bottom w:w="0" w:type="dxa"/>
            <w:right w:w="108" w:type="dxa"/>
          </w:tblCellMar>
        </w:tblPrEx>
        <w:trPr>
          <w:trHeight w:val="420" w:hRule="atLeast"/>
        </w:trPr>
        <w:tc>
          <w:tcPr>
            <w:tcW w:w="184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B8779B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能源资源</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565A1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电</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A3B8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2.15E-01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AA5D3">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kwh</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986C31">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1.13E-01</w:t>
            </w:r>
          </w:p>
        </w:tc>
      </w:tr>
      <w:tr w14:paraId="213307FA">
        <w:tblPrEx>
          <w:tblCellMar>
            <w:top w:w="0" w:type="dxa"/>
            <w:left w:w="108" w:type="dxa"/>
            <w:bottom w:w="0" w:type="dxa"/>
            <w:right w:w="108" w:type="dxa"/>
          </w:tblCellMar>
        </w:tblPrEx>
        <w:trPr>
          <w:trHeight w:val="438" w:hRule="atLeast"/>
        </w:trPr>
        <w:tc>
          <w:tcPr>
            <w:tcW w:w="1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4A4ADE">
            <w:pPr>
              <w:jc w:val="center"/>
              <w:rPr>
                <w:rFonts w:hint="eastAsia"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27025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天然气</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9269DA">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2.21E-01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F38F49">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m³</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CBB1D">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1.29E-01</w:t>
            </w:r>
          </w:p>
        </w:tc>
      </w:tr>
      <w:tr w14:paraId="4F54D642">
        <w:tblPrEx>
          <w:tblCellMar>
            <w:top w:w="0" w:type="dxa"/>
            <w:left w:w="108" w:type="dxa"/>
            <w:bottom w:w="0" w:type="dxa"/>
            <w:right w:w="108" w:type="dxa"/>
          </w:tblCellMar>
        </w:tblPrEx>
        <w:trPr>
          <w:trHeight w:val="420" w:hRule="atLeast"/>
        </w:trPr>
        <w:tc>
          <w:tcPr>
            <w:tcW w:w="184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DC5BD64">
            <w:pPr>
              <w:jc w:val="center"/>
              <w:rPr>
                <w:rFonts w:hint="eastAsia"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F685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柴油</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1ADB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2.26E-05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2FBFB">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9C198">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2.00E-05</w:t>
            </w:r>
          </w:p>
        </w:tc>
      </w:tr>
      <w:tr w14:paraId="427F399A">
        <w:tblPrEx>
          <w:tblCellMar>
            <w:top w:w="0" w:type="dxa"/>
            <w:left w:w="108" w:type="dxa"/>
            <w:bottom w:w="0" w:type="dxa"/>
            <w:right w:w="108" w:type="dxa"/>
          </w:tblCellMar>
        </w:tblPrEx>
        <w:trPr>
          <w:trHeight w:val="42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C8D5A">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废弃物处置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77455">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飞灰</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6DB64">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1.80E-06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4B3E22">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B57A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5.00E-06</w:t>
            </w:r>
          </w:p>
        </w:tc>
      </w:tr>
      <w:tr w14:paraId="5FFB69B0">
        <w:tblPrEx>
          <w:tblCellMar>
            <w:top w:w="0" w:type="dxa"/>
            <w:left w:w="108" w:type="dxa"/>
            <w:bottom w:w="0" w:type="dxa"/>
            <w:right w:w="108" w:type="dxa"/>
          </w:tblCellMar>
        </w:tblPrEx>
        <w:trPr>
          <w:trHeight w:val="438"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D193CD">
            <w:pPr>
              <w:jc w:val="center"/>
              <w:rPr>
                <w:rFonts w:hint="eastAsia" w:ascii="宋体" w:hAnsi="宋体" w:eastAsia="宋体" w:cs="宋体"/>
                <w:color w:val="000000"/>
                <w:sz w:val="22"/>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FE48E">
            <w:pPr>
              <w:widowControl/>
              <w:jc w:val="center"/>
              <w:textAlignment w:val="center"/>
              <w:rPr>
                <w:rFonts w:hint="eastAsia" w:ascii="宋体" w:hAnsi="宋体" w:eastAsia="宋体" w:cs="宋体"/>
                <w:color w:val="000000"/>
                <w:sz w:val="24"/>
                <w:szCs w:val="24"/>
              </w:rPr>
            </w:pPr>
            <w:r>
              <w:rPr>
                <w:rFonts w:hint="eastAsia" w:ascii="宋体" w:hAnsi="宋体" w:eastAsia="宋体" w:cs="宋体"/>
                <w:color w:val="000000"/>
                <w:kern w:val="0"/>
                <w:sz w:val="24"/>
                <w:szCs w:val="24"/>
                <w:lang w:bidi="ar"/>
              </w:rPr>
              <w:t>废铝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900790">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3.46E-05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EC90C">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kg</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3B1DE">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1.00E-04</w:t>
            </w:r>
          </w:p>
        </w:tc>
      </w:tr>
      <w:tr w14:paraId="46EF782D">
        <w:tblPrEx>
          <w:tblCellMar>
            <w:top w:w="0" w:type="dxa"/>
            <w:left w:w="108" w:type="dxa"/>
            <w:bottom w:w="0" w:type="dxa"/>
            <w:right w:w="108" w:type="dxa"/>
          </w:tblCellMar>
        </w:tblPrEx>
        <w:trPr>
          <w:trHeight w:val="456"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26F2F">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404DA5">
            <w:pPr>
              <w:widowControl/>
              <w:jc w:val="center"/>
              <w:textAlignment w:val="center"/>
              <w:rPr>
                <w:rFonts w:hint="eastAsia" w:ascii="宋体" w:hAnsi="宋体" w:eastAsia="宋体" w:cs="宋体"/>
                <w:color w:val="000000"/>
                <w:sz w:val="22"/>
              </w:rPr>
            </w:pPr>
            <w:r>
              <w:rPr>
                <w:rFonts w:hint="eastAsia" w:ascii="宋体" w:hAnsi="宋体" w:eastAsia="宋体" w:cs="宋体"/>
                <w:color w:val="000000"/>
                <w:kern w:val="0"/>
                <w:sz w:val="22"/>
                <w:lang w:bidi="ar"/>
              </w:rPr>
              <w:t xml:space="preserve">15.70 </w:t>
            </w:r>
          </w:p>
        </w:tc>
      </w:tr>
    </w:tbl>
    <w:p w14:paraId="6BE229E4">
      <w:pPr>
        <w:spacing w:before="156" w:beforeLines="50" w:line="360" w:lineRule="auto"/>
        <w:ind w:firstLine="1080" w:firstLineChars="450"/>
        <w:rPr>
          <w:rFonts w:hint="eastAsia" w:ascii="宋体" w:hAnsi="宋体"/>
          <w:sz w:val="24"/>
          <w:szCs w:val="24"/>
        </w:rPr>
      </w:pPr>
    </w:p>
    <w:p w14:paraId="5E6DFDF9">
      <w:pPr>
        <w:rPr>
          <w:rFonts w:eastAsia="宋体"/>
          <w:b/>
          <w:sz w:val="18"/>
          <w:szCs w:val="18"/>
        </w:rPr>
      </w:pPr>
      <w:r>
        <w:rPr>
          <w:rFonts w:eastAsia="宋体" w:cs="Arial"/>
          <w:b/>
          <w:sz w:val="18"/>
          <w:szCs w:val="18"/>
        </w:rPr>
        <w:t>注：供应商、委外承包商只显示地点，</w:t>
      </w:r>
      <w:r>
        <w:rPr>
          <w:rFonts w:hint="eastAsia" w:eastAsia="宋体"/>
          <w:b/>
          <w:sz w:val="18"/>
          <w:szCs w:val="18"/>
        </w:rPr>
        <w:t>不显示具体组织名称。表中温室气体（GHG）排放=活动数据（AD）X排放因子(EF)。排放因子(EF)因子获取方式为：《</w:t>
      </w:r>
      <w:r>
        <w:rPr>
          <w:rFonts w:hint="eastAsia" w:ascii="Times New Roman" w:hAnsi="Times New Roman" w:eastAsia="宋体"/>
          <w:b/>
          <w:sz w:val="18"/>
          <w:szCs w:val="18"/>
        </w:rPr>
        <w:t>中国产品全生命周期温室气体排放系数集（</w:t>
      </w:r>
      <w:r>
        <w:rPr>
          <w:rFonts w:ascii="Times New Roman" w:hAnsi="Times New Roman" w:eastAsia="宋体"/>
          <w:b/>
          <w:sz w:val="18"/>
          <w:szCs w:val="18"/>
        </w:rPr>
        <w:t>2022</w:t>
      </w:r>
      <w:r>
        <w:rPr>
          <w:rFonts w:hint="eastAsia" w:ascii="Times New Roman" w:hAnsi="Times New Roman" w:eastAsia="宋体"/>
          <w:b/>
          <w:sz w:val="18"/>
          <w:szCs w:val="18"/>
        </w:rPr>
        <w:t>）</w:t>
      </w:r>
      <w:r>
        <w:rPr>
          <w:rFonts w:hint="eastAsia" w:eastAsia="宋体"/>
          <w:b/>
          <w:sz w:val="18"/>
          <w:szCs w:val="18"/>
        </w:rPr>
        <w:t>》。</w:t>
      </w:r>
    </w:p>
    <w:p w14:paraId="3CB513E5">
      <w:pPr>
        <w:ind w:firstLine="1560" w:firstLineChars="650"/>
        <w:rPr>
          <w:rFonts w:hint="eastAsia" w:ascii="宋体" w:hAnsi="宋体"/>
          <w:sz w:val="24"/>
          <w:szCs w:val="24"/>
        </w:rPr>
      </w:pPr>
    </w:p>
    <w:p w14:paraId="09C91B40">
      <w:pPr>
        <w:ind w:firstLine="1560" w:firstLineChars="650"/>
        <w:rPr>
          <w:rFonts w:hint="eastAsia" w:ascii="宋体" w:hAnsi="宋体"/>
          <w:sz w:val="24"/>
          <w:szCs w:val="24"/>
        </w:rPr>
      </w:pPr>
    </w:p>
    <w:p w14:paraId="03271EAD">
      <w:pPr>
        <w:ind w:firstLine="1560" w:firstLineChars="650"/>
        <w:rPr>
          <w:rFonts w:hint="eastAsia" w:ascii="宋体" w:hAnsi="宋体"/>
          <w:sz w:val="24"/>
          <w:szCs w:val="24"/>
        </w:rPr>
      </w:pPr>
    </w:p>
    <w:p w14:paraId="0ED07DB6">
      <w:pPr>
        <w:ind w:firstLine="1560" w:firstLineChars="650"/>
        <w:rPr>
          <w:rFonts w:hint="eastAsia" w:ascii="宋体" w:hAnsi="宋体"/>
          <w:sz w:val="24"/>
          <w:szCs w:val="24"/>
        </w:rPr>
      </w:pPr>
    </w:p>
    <w:p w14:paraId="6F735EB2">
      <w:pPr>
        <w:ind w:firstLine="1560" w:firstLineChars="650"/>
        <w:rPr>
          <w:rFonts w:eastAsia="宋体"/>
          <w:b/>
          <w:sz w:val="18"/>
          <w:szCs w:val="18"/>
        </w:rPr>
      </w:pPr>
      <w:r>
        <w:rPr>
          <w:rFonts w:hint="eastAsia" w:ascii="宋体" w:hAnsi="宋体"/>
          <w:sz w:val="24"/>
          <w:szCs w:val="24"/>
        </w:rPr>
        <w:t xml:space="preserve">表6  </w:t>
      </w:r>
      <w:r>
        <w:rPr>
          <w:rFonts w:hint="eastAsia" w:cs="宋体" w:asciiTheme="minorEastAsia" w:hAnsiTheme="minorEastAsia"/>
          <w:color w:val="000000"/>
          <w:kern w:val="0"/>
          <w:sz w:val="24"/>
          <w:szCs w:val="24"/>
        </w:rPr>
        <w:t>AC4C</w:t>
      </w:r>
      <w:r>
        <w:rPr>
          <w:rFonts w:ascii="宋体" w:hAnsi="宋体"/>
          <w:sz w:val="24"/>
          <w:szCs w:val="24"/>
        </w:rPr>
        <w:t>铝合金产品</w:t>
      </w:r>
      <w:r>
        <w:rPr>
          <w:rFonts w:hint="eastAsia" w:ascii="宋体" w:hAnsi="宋体"/>
          <w:sz w:val="24"/>
          <w:szCs w:val="24"/>
        </w:rPr>
        <w:t>生产过程</w:t>
      </w:r>
      <w:r>
        <w:rPr>
          <w:rFonts w:ascii="宋体" w:hAnsi="宋体"/>
          <w:sz w:val="24"/>
          <w:szCs w:val="24"/>
        </w:rPr>
        <w:t>生命周期清单数据</w:t>
      </w:r>
      <w:r>
        <w:rPr>
          <w:rFonts w:hint="eastAsia" w:ascii="宋体" w:hAnsi="宋体"/>
          <w:sz w:val="24"/>
          <w:szCs w:val="24"/>
        </w:rPr>
        <w:t>-贡献比</w:t>
      </w:r>
    </w:p>
    <w:tbl>
      <w:tblPr>
        <w:tblStyle w:val="10"/>
        <w:tblW w:w="8359" w:type="dxa"/>
        <w:tblInd w:w="98" w:type="dxa"/>
        <w:tblLayout w:type="autofit"/>
        <w:tblCellMar>
          <w:top w:w="0" w:type="dxa"/>
          <w:left w:w="108" w:type="dxa"/>
          <w:bottom w:w="0" w:type="dxa"/>
          <w:right w:w="108" w:type="dxa"/>
        </w:tblCellMar>
      </w:tblPr>
      <w:tblGrid>
        <w:gridCol w:w="2238"/>
        <w:gridCol w:w="3587"/>
        <w:gridCol w:w="2534"/>
      </w:tblGrid>
      <w:tr w14:paraId="7351CDBE">
        <w:tblPrEx>
          <w:tblCellMar>
            <w:top w:w="0" w:type="dxa"/>
            <w:left w:w="108" w:type="dxa"/>
            <w:bottom w:w="0" w:type="dxa"/>
            <w:right w:w="108" w:type="dxa"/>
          </w:tblCellMar>
        </w:tblPrEx>
        <w:trPr>
          <w:trHeight w:val="369" w:hRule="atLeast"/>
        </w:trPr>
        <w:tc>
          <w:tcPr>
            <w:tcW w:w="2238" w:type="dxa"/>
            <w:tcBorders>
              <w:top w:val="single" w:color="auto" w:sz="8" w:space="0"/>
              <w:left w:val="single" w:color="auto" w:sz="8" w:space="0"/>
              <w:bottom w:val="single" w:color="auto" w:sz="8" w:space="0"/>
              <w:right w:val="single" w:color="auto" w:sz="8" w:space="0"/>
            </w:tcBorders>
            <w:shd w:val="clear" w:color="000000" w:fill="FFC000"/>
            <w:vAlign w:val="center"/>
          </w:tcPr>
          <w:p w14:paraId="3804D09F">
            <w:pPr>
              <w:jc w:val="center"/>
              <w:rPr>
                <w:rFonts w:hint="eastAsia" w:ascii="宋体" w:hAnsi="宋体" w:eastAsia="宋体"/>
                <w:b/>
                <w:bCs/>
                <w:color w:val="000000"/>
                <w:sz w:val="20"/>
                <w:szCs w:val="20"/>
              </w:rPr>
            </w:pPr>
            <w:r>
              <w:rPr>
                <w:rFonts w:hint="eastAsia" w:ascii="宋体" w:hAnsi="宋体" w:eastAsia="宋体"/>
                <w:b/>
                <w:bCs/>
                <w:color w:val="000000"/>
                <w:sz w:val="20"/>
                <w:szCs w:val="20"/>
              </w:rPr>
              <w:t>类别</w:t>
            </w:r>
          </w:p>
        </w:tc>
        <w:tc>
          <w:tcPr>
            <w:tcW w:w="3587" w:type="dxa"/>
            <w:tcBorders>
              <w:top w:val="single" w:color="auto" w:sz="8" w:space="0"/>
              <w:left w:val="nil"/>
              <w:bottom w:val="single" w:color="auto" w:sz="8" w:space="0"/>
              <w:right w:val="single" w:color="auto" w:sz="8" w:space="0"/>
            </w:tcBorders>
            <w:shd w:val="clear" w:color="000000" w:fill="FFC000"/>
            <w:vAlign w:val="center"/>
          </w:tcPr>
          <w:p w14:paraId="2BC42447">
            <w:pPr>
              <w:jc w:val="center"/>
              <w:rPr>
                <w:rFonts w:hint="eastAsia" w:ascii="Times New Roman Regular" w:hAnsi="Times New Roman Regular" w:eastAsia="宋体"/>
                <w:b/>
                <w:bCs/>
                <w:color w:val="000000"/>
                <w:sz w:val="20"/>
                <w:szCs w:val="20"/>
              </w:rPr>
            </w:pPr>
            <w:r>
              <w:rPr>
                <w:rFonts w:hint="eastAsia" w:ascii="Times New Roman Regular" w:hAnsi="Times New Roman Regular" w:eastAsia="宋体"/>
                <w:b/>
                <w:bCs/>
                <w:color w:val="000000"/>
                <w:sz w:val="20"/>
                <w:szCs w:val="20"/>
              </w:rPr>
              <w:t>碳足迹（</w:t>
            </w:r>
            <w:r>
              <w:rPr>
                <w:rFonts w:ascii="Times New Roman Regular" w:hAnsi="Times New Roman Regular" w:eastAsia="宋体"/>
                <w:b/>
                <w:bCs/>
                <w:color w:val="000000"/>
                <w:sz w:val="20"/>
                <w:szCs w:val="20"/>
              </w:rPr>
              <w:t>kgCO2</w:t>
            </w:r>
            <w:r>
              <w:rPr>
                <w:rFonts w:hint="eastAsia" w:ascii="Times New Roman Regular" w:hAnsi="Times New Roman Regular" w:eastAsia="宋体"/>
                <w:b/>
                <w:bCs/>
                <w:color w:val="000000"/>
                <w:sz w:val="20"/>
                <w:szCs w:val="20"/>
              </w:rPr>
              <w:t>eq）</w:t>
            </w:r>
          </w:p>
        </w:tc>
        <w:tc>
          <w:tcPr>
            <w:tcW w:w="2534" w:type="dxa"/>
            <w:tcBorders>
              <w:top w:val="single" w:color="auto" w:sz="8" w:space="0"/>
              <w:left w:val="nil"/>
              <w:bottom w:val="single" w:color="auto" w:sz="8" w:space="0"/>
              <w:right w:val="single" w:color="auto" w:sz="8" w:space="0"/>
            </w:tcBorders>
            <w:shd w:val="clear" w:color="000000" w:fill="FFC000"/>
            <w:vAlign w:val="center"/>
          </w:tcPr>
          <w:p w14:paraId="1EB07A55">
            <w:pPr>
              <w:jc w:val="center"/>
              <w:rPr>
                <w:rFonts w:hint="eastAsia" w:ascii="宋体" w:hAnsi="宋体" w:eastAsia="宋体"/>
                <w:b/>
                <w:bCs/>
                <w:color w:val="000000"/>
                <w:sz w:val="20"/>
                <w:szCs w:val="20"/>
              </w:rPr>
            </w:pPr>
            <w:r>
              <w:rPr>
                <w:rFonts w:hint="eastAsia" w:ascii="宋体" w:hAnsi="宋体" w:eastAsia="宋体"/>
                <w:b/>
                <w:bCs/>
                <w:color w:val="000000"/>
                <w:sz w:val="20"/>
                <w:szCs w:val="20"/>
              </w:rPr>
              <w:t>贡献比</w:t>
            </w:r>
          </w:p>
        </w:tc>
      </w:tr>
      <w:tr w14:paraId="78334BDC">
        <w:tblPrEx>
          <w:tblCellMar>
            <w:top w:w="0" w:type="dxa"/>
            <w:left w:w="108" w:type="dxa"/>
            <w:bottom w:w="0" w:type="dxa"/>
            <w:right w:w="108" w:type="dxa"/>
          </w:tblCellMar>
        </w:tblPrEx>
        <w:trPr>
          <w:trHeight w:val="353" w:hRule="atLeast"/>
        </w:trPr>
        <w:tc>
          <w:tcPr>
            <w:tcW w:w="223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4EDB13">
            <w:pPr>
              <w:jc w:val="center"/>
              <w:rPr>
                <w:rFonts w:eastAsia="宋体"/>
              </w:rPr>
            </w:pPr>
            <w:r>
              <w:rPr>
                <w:rFonts w:eastAsia="宋体"/>
              </w:rPr>
              <w:t>原料</w:t>
            </w:r>
          </w:p>
        </w:tc>
        <w:tc>
          <w:tcPr>
            <w:tcW w:w="3587" w:type="dxa"/>
            <w:tcBorders>
              <w:top w:val="single" w:color="auto" w:sz="4" w:space="0"/>
              <w:left w:val="nil"/>
              <w:bottom w:val="single" w:color="auto" w:sz="4" w:space="0"/>
              <w:right w:val="single" w:color="auto" w:sz="4" w:space="0"/>
            </w:tcBorders>
            <w:shd w:val="clear" w:color="auto" w:fill="auto"/>
            <w:noWrap/>
          </w:tcPr>
          <w:p w14:paraId="003734DC">
            <w:pPr>
              <w:jc w:val="center"/>
              <w:rPr>
                <w:rFonts w:eastAsia="宋体"/>
              </w:rPr>
            </w:pPr>
            <w:r>
              <w:rPr>
                <w:rFonts w:hint="eastAsia" w:ascii="宋体" w:hAnsi="宋体"/>
                <w:color w:val="000000"/>
                <w:sz w:val="22"/>
                <w:szCs w:val="24"/>
              </w:rPr>
              <w:t>1.54E+01</w:t>
            </w:r>
          </w:p>
        </w:tc>
        <w:tc>
          <w:tcPr>
            <w:tcW w:w="2534" w:type="dxa"/>
            <w:tcBorders>
              <w:top w:val="single" w:color="auto" w:sz="4" w:space="0"/>
              <w:left w:val="nil"/>
              <w:bottom w:val="single" w:color="auto" w:sz="4" w:space="0"/>
              <w:right w:val="single" w:color="auto" w:sz="4" w:space="0"/>
            </w:tcBorders>
            <w:shd w:val="clear" w:color="auto" w:fill="auto"/>
            <w:noWrap/>
          </w:tcPr>
          <w:p w14:paraId="60F37DF0">
            <w:pPr>
              <w:jc w:val="center"/>
              <w:rPr>
                <w:rFonts w:eastAsia="宋体"/>
              </w:rPr>
            </w:pPr>
            <w:r>
              <w:rPr>
                <w:rFonts w:hint="eastAsia" w:ascii="宋体" w:hAnsi="宋体"/>
                <w:color w:val="000000"/>
                <w:szCs w:val="24"/>
              </w:rPr>
              <w:t>98.19%</w:t>
            </w:r>
          </w:p>
        </w:tc>
      </w:tr>
      <w:tr w14:paraId="6DA3E050">
        <w:tblPrEx>
          <w:tblCellMar>
            <w:top w:w="0" w:type="dxa"/>
            <w:left w:w="108" w:type="dxa"/>
            <w:bottom w:w="0" w:type="dxa"/>
            <w:right w:w="108" w:type="dxa"/>
          </w:tblCellMar>
        </w:tblPrEx>
        <w:trPr>
          <w:trHeight w:val="353" w:hRule="atLeast"/>
        </w:trPr>
        <w:tc>
          <w:tcPr>
            <w:tcW w:w="2238" w:type="dxa"/>
            <w:tcBorders>
              <w:top w:val="nil"/>
              <w:left w:val="single" w:color="auto" w:sz="4" w:space="0"/>
              <w:bottom w:val="single" w:color="auto" w:sz="4" w:space="0"/>
              <w:right w:val="single" w:color="auto" w:sz="4" w:space="0"/>
            </w:tcBorders>
            <w:shd w:val="clear" w:color="auto" w:fill="auto"/>
            <w:noWrap/>
            <w:vAlign w:val="center"/>
          </w:tcPr>
          <w:p w14:paraId="62F21FD2">
            <w:pPr>
              <w:jc w:val="center"/>
              <w:rPr>
                <w:rFonts w:eastAsia="宋体"/>
              </w:rPr>
            </w:pPr>
            <w:r>
              <w:rPr>
                <w:rFonts w:eastAsia="宋体"/>
              </w:rPr>
              <w:t>辅料</w:t>
            </w:r>
          </w:p>
        </w:tc>
        <w:tc>
          <w:tcPr>
            <w:tcW w:w="3587" w:type="dxa"/>
            <w:tcBorders>
              <w:top w:val="nil"/>
              <w:left w:val="nil"/>
              <w:bottom w:val="single" w:color="auto" w:sz="4" w:space="0"/>
              <w:right w:val="single" w:color="auto" w:sz="4" w:space="0"/>
            </w:tcBorders>
            <w:shd w:val="clear" w:color="auto" w:fill="auto"/>
            <w:noWrap/>
          </w:tcPr>
          <w:p w14:paraId="7DBBA084">
            <w:pPr>
              <w:jc w:val="center"/>
              <w:rPr>
                <w:rFonts w:eastAsia="宋体"/>
              </w:rPr>
            </w:pPr>
            <w:r>
              <w:rPr>
                <w:rFonts w:hint="eastAsia" w:ascii="宋体" w:hAnsi="宋体"/>
                <w:color w:val="000000"/>
                <w:sz w:val="22"/>
                <w:szCs w:val="24"/>
              </w:rPr>
              <w:t>1.10E-03</w:t>
            </w:r>
          </w:p>
        </w:tc>
        <w:tc>
          <w:tcPr>
            <w:tcW w:w="2534" w:type="dxa"/>
            <w:tcBorders>
              <w:top w:val="nil"/>
              <w:left w:val="nil"/>
              <w:bottom w:val="single" w:color="auto" w:sz="4" w:space="0"/>
              <w:right w:val="single" w:color="auto" w:sz="4" w:space="0"/>
            </w:tcBorders>
            <w:shd w:val="clear" w:color="auto" w:fill="auto"/>
            <w:noWrap/>
          </w:tcPr>
          <w:p w14:paraId="2209D101">
            <w:pPr>
              <w:jc w:val="center"/>
              <w:rPr>
                <w:rFonts w:eastAsia="宋体"/>
              </w:rPr>
            </w:pPr>
            <w:r>
              <w:rPr>
                <w:rFonts w:hint="eastAsia" w:ascii="宋体" w:hAnsi="宋体"/>
                <w:color w:val="000000"/>
                <w:szCs w:val="24"/>
              </w:rPr>
              <w:t>0.01%</w:t>
            </w:r>
          </w:p>
        </w:tc>
      </w:tr>
      <w:tr w14:paraId="20950278">
        <w:tblPrEx>
          <w:tblCellMar>
            <w:top w:w="0" w:type="dxa"/>
            <w:left w:w="108" w:type="dxa"/>
            <w:bottom w:w="0" w:type="dxa"/>
            <w:right w:w="108" w:type="dxa"/>
          </w:tblCellMar>
        </w:tblPrEx>
        <w:trPr>
          <w:trHeight w:val="353" w:hRule="atLeast"/>
        </w:trPr>
        <w:tc>
          <w:tcPr>
            <w:tcW w:w="2238" w:type="dxa"/>
            <w:tcBorders>
              <w:top w:val="nil"/>
              <w:left w:val="single" w:color="auto" w:sz="4" w:space="0"/>
              <w:bottom w:val="single" w:color="auto" w:sz="4" w:space="0"/>
              <w:right w:val="single" w:color="auto" w:sz="4" w:space="0"/>
            </w:tcBorders>
            <w:shd w:val="clear" w:color="auto" w:fill="auto"/>
            <w:noWrap/>
            <w:vAlign w:val="center"/>
          </w:tcPr>
          <w:p w14:paraId="42E14BCF">
            <w:pPr>
              <w:jc w:val="center"/>
              <w:rPr>
                <w:rFonts w:eastAsia="宋体"/>
              </w:rPr>
            </w:pPr>
            <w:r>
              <w:rPr>
                <w:rFonts w:eastAsia="宋体"/>
              </w:rPr>
              <w:t>运输</w:t>
            </w:r>
          </w:p>
        </w:tc>
        <w:tc>
          <w:tcPr>
            <w:tcW w:w="3587" w:type="dxa"/>
            <w:tcBorders>
              <w:top w:val="nil"/>
              <w:left w:val="nil"/>
              <w:bottom w:val="single" w:color="auto" w:sz="4" w:space="0"/>
              <w:right w:val="single" w:color="auto" w:sz="4" w:space="0"/>
            </w:tcBorders>
            <w:shd w:val="clear" w:color="auto" w:fill="auto"/>
            <w:noWrap/>
          </w:tcPr>
          <w:p w14:paraId="582609A8">
            <w:pPr>
              <w:jc w:val="center"/>
              <w:rPr>
                <w:rFonts w:eastAsia="宋体"/>
              </w:rPr>
            </w:pPr>
            <w:r>
              <w:rPr>
                <w:rFonts w:hint="eastAsia" w:ascii="宋体" w:hAnsi="宋体"/>
                <w:color w:val="000000"/>
                <w:sz w:val="22"/>
                <w:szCs w:val="24"/>
              </w:rPr>
              <w:t>3.99E-02</w:t>
            </w:r>
          </w:p>
        </w:tc>
        <w:tc>
          <w:tcPr>
            <w:tcW w:w="2534" w:type="dxa"/>
            <w:tcBorders>
              <w:top w:val="nil"/>
              <w:left w:val="nil"/>
              <w:bottom w:val="single" w:color="auto" w:sz="4" w:space="0"/>
              <w:right w:val="single" w:color="auto" w:sz="4" w:space="0"/>
            </w:tcBorders>
            <w:shd w:val="clear" w:color="auto" w:fill="auto"/>
            <w:noWrap/>
          </w:tcPr>
          <w:p w14:paraId="464D5A7B">
            <w:pPr>
              <w:jc w:val="center"/>
              <w:rPr>
                <w:rFonts w:eastAsia="宋体"/>
              </w:rPr>
            </w:pPr>
            <w:r>
              <w:rPr>
                <w:rFonts w:hint="eastAsia" w:ascii="宋体" w:hAnsi="宋体"/>
                <w:color w:val="000000"/>
                <w:szCs w:val="24"/>
              </w:rPr>
              <w:t>0.25%</w:t>
            </w:r>
          </w:p>
        </w:tc>
      </w:tr>
      <w:tr w14:paraId="0D19ED37">
        <w:tblPrEx>
          <w:tblCellMar>
            <w:top w:w="0" w:type="dxa"/>
            <w:left w:w="108" w:type="dxa"/>
            <w:bottom w:w="0" w:type="dxa"/>
            <w:right w:w="108" w:type="dxa"/>
          </w:tblCellMar>
        </w:tblPrEx>
        <w:trPr>
          <w:trHeight w:val="353" w:hRule="atLeast"/>
        </w:trPr>
        <w:tc>
          <w:tcPr>
            <w:tcW w:w="2238" w:type="dxa"/>
            <w:tcBorders>
              <w:top w:val="nil"/>
              <w:left w:val="single" w:color="auto" w:sz="4" w:space="0"/>
              <w:bottom w:val="single" w:color="auto" w:sz="4" w:space="0"/>
              <w:right w:val="single" w:color="auto" w:sz="4" w:space="0"/>
            </w:tcBorders>
            <w:shd w:val="clear" w:color="auto" w:fill="auto"/>
            <w:noWrap/>
            <w:vAlign w:val="center"/>
          </w:tcPr>
          <w:p w14:paraId="0F8C6AA5">
            <w:pPr>
              <w:jc w:val="center"/>
              <w:rPr>
                <w:rFonts w:eastAsia="宋体"/>
              </w:rPr>
            </w:pPr>
            <w:r>
              <w:rPr>
                <w:rFonts w:eastAsia="宋体"/>
              </w:rPr>
              <w:t>能源资源</w:t>
            </w:r>
          </w:p>
        </w:tc>
        <w:tc>
          <w:tcPr>
            <w:tcW w:w="3587" w:type="dxa"/>
            <w:tcBorders>
              <w:top w:val="nil"/>
              <w:left w:val="nil"/>
              <w:bottom w:val="single" w:color="auto" w:sz="4" w:space="0"/>
              <w:right w:val="single" w:color="auto" w:sz="4" w:space="0"/>
            </w:tcBorders>
            <w:shd w:val="clear" w:color="auto" w:fill="auto"/>
            <w:noWrap/>
          </w:tcPr>
          <w:p w14:paraId="18E4067F">
            <w:pPr>
              <w:jc w:val="center"/>
              <w:rPr>
                <w:rFonts w:eastAsia="宋体"/>
              </w:rPr>
            </w:pPr>
            <w:r>
              <w:rPr>
                <w:rFonts w:hint="eastAsia" w:ascii="宋体" w:hAnsi="宋体"/>
                <w:color w:val="000000"/>
                <w:sz w:val="22"/>
                <w:szCs w:val="24"/>
              </w:rPr>
              <w:t>2.43E-01</w:t>
            </w:r>
          </w:p>
        </w:tc>
        <w:tc>
          <w:tcPr>
            <w:tcW w:w="2534" w:type="dxa"/>
            <w:tcBorders>
              <w:top w:val="nil"/>
              <w:left w:val="nil"/>
              <w:bottom w:val="single" w:color="auto" w:sz="4" w:space="0"/>
              <w:right w:val="single" w:color="auto" w:sz="4" w:space="0"/>
            </w:tcBorders>
            <w:shd w:val="clear" w:color="auto" w:fill="auto"/>
            <w:noWrap/>
          </w:tcPr>
          <w:p w14:paraId="7EDA05B5">
            <w:pPr>
              <w:jc w:val="center"/>
              <w:rPr>
                <w:rFonts w:eastAsia="宋体"/>
              </w:rPr>
            </w:pPr>
            <w:r>
              <w:rPr>
                <w:rFonts w:hint="eastAsia" w:ascii="宋体" w:hAnsi="宋体"/>
                <w:color w:val="000000"/>
                <w:szCs w:val="24"/>
              </w:rPr>
              <w:t>1.55%</w:t>
            </w:r>
          </w:p>
        </w:tc>
      </w:tr>
      <w:tr w14:paraId="0B76D979">
        <w:tblPrEx>
          <w:tblCellMar>
            <w:top w:w="0" w:type="dxa"/>
            <w:left w:w="108" w:type="dxa"/>
            <w:bottom w:w="0" w:type="dxa"/>
            <w:right w:w="108" w:type="dxa"/>
          </w:tblCellMar>
        </w:tblPrEx>
        <w:trPr>
          <w:trHeight w:val="353" w:hRule="atLeast"/>
        </w:trPr>
        <w:tc>
          <w:tcPr>
            <w:tcW w:w="2238" w:type="dxa"/>
            <w:tcBorders>
              <w:top w:val="nil"/>
              <w:left w:val="single" w:color="auto" w:sz="4" w:space="0"/>
              <w:bottom w:val="single" w:color="auto" w:sz="4" w:space="0"/>
              <w:right w:val="single" w:color="auto" w:sz="4" w:space="0"/>
            </w:tcBorders>
            <w:shd w:val="clear" w:color="auto" w:fill="auto"/>
            <w:noWrap/>
            <w:vAlign w:val="center"/>
          </w:tcPr>
          <w:p w14:paraId="36ADFF38">
            <w:pPr>
              <w:jc w:val="center"/>
              <w:rPr>
                <w:rFonts w:eastAsia="宋体"/>
              </w:rPr>
            </w:pPr>
            <w:r>
              <w:rPr>
                <w:rFonts w:eastAsia="宋体"/>
              </w:rPr>
              <w:t>废弃物</w:t>
            </w:r>
          </w:p>
        </w:tc>
        <w:tc>
          <w:tcPr>
            <w:tcW w:w="3587" w:type="dxa"/>
            <w:tcBorders>
              <w:top w:val="nil"/>
              <w:left w:val="nil"/>
              <w:bottom w:val="single" w:color="auto" w:sz="4" w:space="0"/>
              <w:right w:val="single" w:color="auto" w:sz="4" w:space="0"/>
            </w:tcBorders>
            <w:shd w:val="clear" w:color="auto" w:fill="auto"/>
            <w:noWrap/>
          </w:tcPr>
          <w:p w14:paraId="4C24CF93">
            <w:pPr>
              <w:jc w:val="center"/>
              <w:rPr>
                <w:rFonts w:eastAsia="宋体"/>
              </w:rPr>
            </w:pPr>
            <w:r>
              <w:rPr>
                <w:rFonts w:hint="eastAsia" w:ascii="宋体" w:hAnsi="宋体"/>
                <w:color w:val="000000"/>
                <w:sz w:val="22"/>
                <w:szCs w:val="24"/>
              </w:rPr>
              <w:t>3.64E-05</w:t>
            </w:r>
          </w:p>
        </w:tc>
        <w:tc>
          <w:tcPr>
            <w:tcW w:w="2534" w:type="dxa"/>
            <w:tcBorders>
              <w:top w:val="nil"/>
              <w:left w:val="nil"/>
              <w:bottom w:val="single" w:color="auto" w:sz="4" w:space="0"/>
              <w:right w:val="single" w:color="auto" w:sz="4" w:space="0"/>
            </w:tcBorders>
            <w:shd w:val="clear" w:color="auto" w:fill="auto"/>
            <w:noWrap/>
          </w:tcPr>
          <w:p w14:paraId="3B3C1823">
            <w:pPr>
              <w:jc w:val="center"/>
              <w:rPr>
                <w:rFonts w:eastAsia="宋体"/>
              </w:rPr>
            </w:pPr>
            <w:r>
              <w:rPr>
                <w:rFonts w:hint="eastAsia" w:ascii="宋体" w:hAnsi="宋体"/>
                <w:color w:val="000000"/>
                <w:szCs w:val="24"/>
              </w:rPr>
              <w:t>0.00%</w:t>
            </w:r>
          </w:p>
        </w:tc>
      </w:tr>
      <w:tr w14:paraId="07C1D18B">
        <w:tblPrEx>
          <w:tblCellMar>
            <w:top w:w="0" w:type="dxa"/>
            <w:left w:w="108" w:type="dxa"/>
            <w:bottom w:w="0" w:type="dxa"/>
            <w:right w:w="108" w:type="dxa"/>
          </w:tblCellMar>
        </w:tblPrEx>
        <w:trPr>
          <w:trHeight w:val="353" w:hRule="atLeast"/>
        </w:trPr>
        <w:tc>
          <w:tcPr>
            <w:tcW w:w="2238" w:type="dxa"/>
            <w:tcBorders>
              <w:top w:val="nil"/>
              <w:left w:val="single" w:color="auto" w:sz="4" w:space="0"/>
              <w:bottom w:val="single" w:color="auto" w:sz="4" w:space="0"/>
              <w:right w:val="single" w:color="auto" w:sz="4" w:space="0"/>
            </w:tcBorders>
            <w:shd w:val="clear" w:color="auto" w:fill="auto"/>
            <w:noWrap/>
            <w:vAlign w:val="center"/>
          </w:tcPr>
          <w:p w14:paraId="6981B9DE">
            <w:pPr>
              <w:jc w:val="center"/>
              <w:rPr>
                <w:rFonts w:eastAsia="宋体"/>
              </w:rPr>
            </w:pPr>
            <w:r>
              <w:rPr>
                <w:rFonts w:eastAsia="宋体"/>
              </w:rPr>
              <w:t>总计</w:t>
            </w:r>
          </w:p>
        </w:tc>
        <w:tc>
          <w:tcPr>
            <w:tcW w:w="3587" w:type="dxa"/>
            <w:tcBorders>
              <w:top w:val="nil"/>
              <w:left w:val="nil"/>
              <w:bottom w:val="single" w:color="auto" w:sz="4" w:space="0"/>
              <w:right w:val="single" w:color="auto" w:sz="4" w:space="0"/>
            </w:tcBorders>
            <w:shd w:val="clear" w:color="auto" w:fill="auto"/>
            <w:noWrap/>
          </w:tcPr>
          <w:p w14:paraId="30C45B5B">
            <w:pPr>
              <w:jc w:val="center"/>
              <w:rPr>
                <w:rFonts w:eastAsia="宋体"/>
              </w:rPr>
            </w:pPr>
            <w:r>
              <w:rPr>
                <w:rFonts w:hint="eastAsia" w:ascii="宋体" w:hAnsi="宋体"/>
                <w:color w:val="000000"/>
                <w:szCs w:val="24"/>
              </w:rPr>
              <w:t xml:space="preserve">15.70 </w:t>
            </w:r>
          </w:p>
        </w:tc>
        <w:tc>
          <w:tcPr>
            <w:tcW w:w="2534" w:type="dxa"/>
            <w:tcBorders>
              <w:top w:val="nil"/>
              <w:left w:val="nil"/>
              <w:bottom w:val="single" w:color="auto" w:sz="4" w:space="0"/>
              <w:right w:val="single" w:color="auto" w:sz="4" w:space="0"/>
            </w:tcBorders>
            <w:shd w:val="clear" w:color="auto" w:fill="auto"/>
            <w:noWrap/>
          </w:tcPr>
          <w:p w14:paraId="77F18680">
            <w:pPr>
              <w:jc w:val="center"/>
              <w:rPr>
                <w:rFonts w:eastAsia="宋体"/>
              </w:rPr>
            </w:pPr>
            <w:r>
              <w:rPr>
                <w:rFonts w:hint="eastAsia" w:ascii="宋体" w:hAnsi="宋体"/>
                <w:color w:val="000000"/>
                <w:szCs w:val="24"/>
              </w:rPr>
              <w:t>100.00%</w:t>
            </w:r>
          </w:p>
        </w:tc>
      </w:tr>
    </w:tbl>
    <w:p w14:paraId="31906A7C">
      <w:pPr>
        <w:pStyle w:val="22"/>
        <w:spacing w:line="500" w:lineRule="exact"/>
        <w:rPr>
          <w:rFonts w:hint="eastAsia" w:eastAsiaTheme="minorEastAsia" w:cstheme="minorBidi"/>
          <w:b/>
          <w:snapToGrid/>
          <w:color w:val="auto"/>
          <w:kern w:val="2"/>
          <w:sz w:val="28"/>
          <w:szCs w:val="28"/>
          <w:lang w:eastAsia="zh-CN"/>
        </w:rPr>
      </w:pPr>
      <w:r>
        <w:rPr>
          <w:rFonts w:hint="eastAsia" w:eastAsiaTheme="minorEastAsia" w:cstheme="minorBidi"/>
          <w:b/>
          <w:snapToGrid/>
          <w:color w:val="auto"/>
          <w:kern w:val="2"/>
          <w:sz w:val="28"/>
          <w:szCs w:val="28"/>
          <w:lang w:eastAsia="zh-CN"/>
        </w:rPr>
        <w:t>四、</w:t>
      </w:r>
      <w:r>
        <w:rPr>
          <w:rFonts w:eastAsiaTheme="minorEastAsia" w:cstheme="minorBidi"/>
          <w:b/>
          <w:snapToGrid/>
          <w:color w:val="auto"/>
          <w:kern w:val="2"/>
          <w:sz w:val="28"/>
          <w:szCs w:val="28"/>
          <w:lang w:eastAsia="zh-CN"/>
        </w:rPr>
        <w:t>生命周期评价结果</w:t>
      </w:r>
      <w:bookmarkEnd w:id="2"/>
    </w:p>
    <w:p w14:paraId="0C51D83D">
      <w:pPr>
        <w:pStyle w:val="22"/>
        <w:spacing w:line="400" w:lineRule="exact"/>
        <w:ind w:firstLine="480" w:firstLineChars="200"/>
        <w:rPr>
          <w:rFonts w:hint="eastAsia" w:asciiTheme="minorEastAsia" w:hAnsiTheme="minorEastAsia" w:eastAsiaTheme="minorEastAsia" w:cstheme="minorBidi"/>
          <w:snapToGrid/>
          <w:color w:val="auto"/>
          <w:kern w:val="2"/>
          <w:sz w:val="24"/>
          <w:szCs w:val="24"/>
          <w:lang w:eastAsia="zh-CN"/>
        </w:rPr>
      </w:pPr>
      <w:r>
        <w:rPr>
          <w:rFonts w:hint="eastAsia" w:asciiTheme="minorEastAsia" w:hAnsiTheme="minorEastAsia" w:eastAsiaTheme="minorEastAsia" w:cstheme="minorBidi"/>
          <w:snapToGrid/>
          <w:color w:val="auto"/>
          <w:kern w:val="2"/>
          <w:sz w:val="24"/>
          <w:szCs w:val="24"/>
          <w:lang w:eastAsia="zh-CN"/>
        </w:rPr>
        <w:t>1、</w:t>
      </w:r>
      <w:bookmarkStart w:id="3" w:name="_Toc34241693"/>
      <w:bookmarkStart w:id="4" w:name="_Toc12133"/>
      <w:r>
        <w:rPr>
          <w:rFonts w:asciiTheme="minorEastAsia" w:hAnsiTheme="minorEastAsia" w:eastAsiaTheme="minorEastAsia" w:cstheme="minorBidi"/>
          <w:snapToGrid/>
          <w:color w:val="auto"/>
          <w:kern w:val="2"/>
          <w:sz w:val="24"/>
          <w:szCs w:val="24"/>
          <w:lang w:eastAsia="zh-CN"/>
        </w:rPr>
        <w:t>建立LCA模型</w:t>
      </w:r>
      <w:bookmarkEnd w:id="3"/>
      <w:bookmarkEnd w:id="4"/>
    </w:p>
    <w:p w14:paraId="3AE150AF">
      <w:pPr>
        <w:spacing w:line="400" w:lineRule="exact"/>
        <w:ind w:firstLine="480" w:firstLineChars="200"/>
        <w:jc w:val="left"/>
        <w:rPr>
          <w:rFonts w:hint="eastAsia" w:cs="Times New Roman" w:asciiTheme="minorEastAsia" w:hAnsiTheme="minorEastAsia"/>
          <w:color w:val="000000" w:themeColor="text1"/>
          <w:sz w:val="24"/>
          <w:szCs w:val="24"/>
        </w:rPr>
      </w:pPr>
      <w:r>
        <w:rPr>
          <w:rFonts w:cs="Times New Roman" w:asciiTheme="minorEastAsia" w:hAnsiTheme="minorEastAsia"/>
          <w:color w:val="000000" w:themeColor="text1"/>
          <w:sz w:val="24"/>
          <w:szCs w:val="24"/>
        </w:rPr>
        <w:t>在</w:t>
      </w:r>
      <w:r>
        <w:rPr>
          <w:rFonts w:hint="eastAsia" w:cs="Times New Roman" w:asciiTheme="minorEastAsia" w:hAnsiTheme="minorEastAsia"/>
          <w:color w:val="000000" w:themeColor="text1"/>
          <w:sz w:val="24"/>
          <w:szCs w:val="24"/>
        </w:rPr>
        <w:t>铝合金锭</w:t>
      </w:r>
      <w:r>
        <w:rPr>
          <w:rFonts w:cs="Times New Roman" w:asciiTheme="minorEastAsia" w:hAnsiTheme="minorEastAsia"/>
          <w:color w:val="000000" w:themeColor="text1"/>
          <w:sz w:val="24"/>
          <w:szCs w:val="24"/>
        </w:rPr>
        <w:t>绿色设计平台LCA模块中建立了铝合金</w:t>
      </w:r>
      <w:r>
        <w:rPr>
          <w:rFonts w:hint="eastAsia" w:cs="Times New Roman" w:asciiTheme="minorEastAsia" w:hAnsiTheme="minorEastAsia"/>
          <w:color w:val="000000" w:themeColor="text1"/>
          <w:sz w:val="24"/>
          <w:szCs w:val="24"/>
        </w:rPr>
        <w:t>锭</w:t>
      </w:r>
      <w:r>
        <w:rPr>
          <w:rFonts w:cs="Times New Roman" w:asciiTheme="minorEastAsia" w:hAnsiTheme="minorEastAsia"/>
          <w:color w:val="000000" w:themeColor="text1"/>
          <w:sz w:val="24"/>
          <w:szCs w:val="24"/>
        </w:rPr>
        <w:t>的生命周期模型，见图</w:t>
      </w:r>
      <w:r>
        <w:rPr>
          <w:rFonts w:hint="eastAsia" w:cs="Times New Roman" w:asciiTheme="minorEastAsia" w:hAnsiTheme="minorEastAsia"/>
          <w:color w:val="000000" w:themeColor="text1"/>
          <w:sz w:val="24"/>
          <w:szCs w:val="24"/>
        </w:rPr>
        <w:t>2</w:t>
      </w:r>
      <w:r>
        <w:rPr>
          <w:rFonts w:cs="Times New Roman" w:asciiTheme="minorEastAsia" w:hAnsiTheme="minorEastAsia"/>
          <w:color w:val="000000" w:themeColor="text1"/>
          <w:sz w:val="24"/>
          <w:szCs w:val="24"/>
        </w:rPr>
        <w:t>。</w:t>
      </w:r>
    </w:p>
    <w:p w14:paraId="70E13013">
      <w:pPr>
        <w:pStyle w:val="22"/>
        <w:spacing w:line="500" w:lineRule="exact"/>
        <w:ind w:firstLine="280" w:firstLineChars="100"/>
        <w:rPr>
          <w:rFonts w:hint="eastAsia" w:eastAsiaTheme="minorEastAsia" w:cstheme="minorBidi"/>
          <w:snapToGrid/>
          <w:color w:val="auto"/>
          <w:kern w:val="2"/>
          <w:sz w:val="28"/>
          <w:szCs w:val="28"/>
          <w:lang w:eastAsia="zh-CN"/>
        </w:rPr>
      </w:pPr>
      <w:r>
        <w:rPr>
          <w:rFonts w:hint="eastAsia" w:eastAsiaTheme="minorEastAsia" w:cstheme="minorBidi"/>
          <w:snapToGrid/>
          <w:color w:val="auto"/>
          <w:kern w:val="2"/>
          <w:sz w:val="28"/>
          <w:szCs w:val="28"/>
          <w:lang w:eastAsia="zh-CN"/>
        </w:rPr>
        <w:pict>
          <v:roundrect id="_x0000_s2135" o:spid="_x0000_s2135" o:spt="2" style="position:absolute;left:0pt;margin-left:47.3pt;margin-top:5.4pt;height:28.45pt;width:88.15pt;z-index:251659264;mso-width-relative:page;mso-height-relative:page;" coordsize="21600,21600" arcsize="0.166666666666667">
            <v:path/>
            <v:fill focussize="0,0"/>
            <v:stroke/>
            <v:imagedata o:title=""/>
            <o:lock v:ext="edit"/>
            <v:textbox>
              <w:txbxContent>
                <w:p w14:paraId="170E9155">
                  <w:pPr>
                    <w:ind w:firstLine="420" w:firstLineChars="200"/>
                  </w:pPr>
                  <w:r>
                    <w:rPr>
                      <w:rFonts w:hint="eastAsia"/>
                    </w:rPr>
                    <w:t>原材料</w:t>
                  </w:r>
                </w:p>
              </w:txbxContent>
            </v:textbox>
          </v:roundrect>
        </w:pict>
      </w:r>
    </w:p>
    <w:p w14:paraId="09FE3554">
      <w:pPr>
        <w:pStyle w:val="22"/>
        <w:spacing w:line="500" w:lineRule="exact"/>
        <w:ind w:firstLine="360" w:firstLineChars="200"/>
        <w:rPr>
          <w:rFonts w:hint="eastAsia"/>
          <w:color w:val="auto"/>
          <w:lang w:eastAsia="zh-CN"/>
        </w:rPr>
      </w:pPr>
      <w:r>
        <w:rPr>
          <w:rFonts w:hint="eastAsia"/>
          <w:snapToGrid/>
          <w:color w:val="auto"/>
          <w:lang w:eastAsia="zh-CN"/>
        </w:rPr>
        <w:pict>
          <v:shape id="_x0000_s2136" o:spid="_x0000_s2136" o:spt="67" type="#_x0000_t67" style="position:absolute;left:0pt;margin-left:89.55pt;margin-top:12.35pt;height:24.3pt;width:6.7pt;z-index:251660288;mso-width-relative:page;mso-height-relative:page;" coordsize="21600,21600">
            <v:path/>
            <v:fill focussize="0,0"/>
            <v:stroke joinstyle="miter"/>
            <v:imagedata o:title=""/>
            <o:lock v:ext="edit"/>
            <v:textbox style="layout-flow:vertical-ideographic;"/>
          </v:shape>
        </w:pict>
      </w:r>
    </w:p>
    <w:p w14:paraId="785084B2">
      <w:pPr>
        <w:pStyle w:val="22"/>
        <w:spacing w:line="500" w:lineRule="exact"/>
        <w:ind w:firstLine="360" w:firstLineChars="200"/>
        <w:rPr>
          <w:rFonts w:hint="eastAsia"/>
          <w:color w:val="auto"/>
          <w:lang w:eastAsia="zh-CN"/>
        </w:rPr>
      </w:pPr>
      <w:r>
        <w:drawing>
          <wp:anchor distT="0" distB="0" distL="114300" distR="114300" simplePos="0" relativeHeight="251665408" behindDoc="1" locked="0" layoutInCell="1" allowOverlap="1">
            <wp:simplePos x="0" y="0"/>
            <wp:positionH relativeFrom="column">
              <wp:posOffset>-152400</wp:posOffset>
            </wp:positionH>
            <wp:positionV relativeFrom="paragraph">
              <wp:posOffset>57150</wp:posOffset>
            </wp:positionV>
            <wp:extent cx="5448300" cy="3375660"/>
            <wp:effectExtent l="0" t="0" r="38100" b="38100"/>
            <wp:wrapTight wrapText="bothSides">
              <wp:wrapPolygon>
                <wp:start x="0" y="0"/>
                <wp:lineTo x="0" y="21551"/>
                <wp:lineTo x="21570" y="21551"/>
                <wp:lineTo x="21570" y="0"/>
                <wp:lineTo x="0" y="0"/>
              </wp:wrapPolygon>
            </wp:wrapTight>
            <wp:docPr id="6" name="图片 2" descr="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descr="1_副本"/>
                    <pic:cNvPicPr>
                      <a:picLocks noChangeAspect="1"/>
                    </pic:cNvPicPr>
                  </pic:nvPicPr>
                  <pic:blipFill>
                    <a:blip r:embed="rId12"/>
                    <a:stretch>
                      <a:fillRect/>
                    </a:stretch>
                  </pic:blipFill>
                  <pic:spPr>
                    <a:xfrm>
                      <a:off x="0" y="0"/>
                      <a:ext cx="5448300" cy="3375660"/>
                    </a:xfrm>
                    <a:prstGeom prst="rect">
                      <a:avLst/>
                    </a:prstGeom>
                    <a:noFill/>
                    <a:ln>
                      <a:noFill/>
                    </a:ln>
                  </pic:spPr>
                </pic:pic>
              </a:graphicData>
            </a:graphic>
          </wp:anchor>
        </w:drawing>
      </w:r>
      <w:r>
        <w:rPr>
          <w:rFonts w:hint="eastAsia" w:ascii="Times New Roman" w:hAnsi="Times New Roman" w:eastAsia="黑体" w:cs="Times New Roman"/>
          <w:color w:val="000000" w:themeColor="text1"/>
          <w:szCs w:val="21"/>
          <w:lang w:eastAsia="zh-CN"/>
        </w:rPr>
        <w:t>图2  绿色设计</w:t>
      </w:r>
      <w:r>
        <w:rPr>
          <w:rFonts w:ascii="Times New Roman" w:hAnsi="Times New Roman" w:eastAsia="黑体" w:cs="Times New Roman"/>
          <w:color w:val="000000" w:themeColor="text1"/>
          <w:szCs w:val="21"/>
          <w:lang w:eastAsia="zh-CN"/>
        </w:rPr>
        <w:t>平台上建立的铝合金</w:t>
      </w:r>
      <w:r>
        <w:rPr>
          <w:rFonts w:hint="eastAsia" w:ascii="Times New Roman" w:hAnsi="Times New Roman" w:eastAsia="黑体" w:cs="Times New Roman"/>
          <w:color w:val="000000" w:themeColor="text1"/>
          <w:szCs w:val="21"/>
          <w:lang w:eastAsia="zh-CN"/>
        </w:rPr>
        <w:t>锭</w:t>
      </w:r>
      <w:r>
        <w:rPr>
          <w:rFonts w:ascii="Times New Roman" w:hAnsi="Times New Roman" w:eastAsia="黑体" w:cs="Times New Roman"/>
          <w:color w:val="000000" w:themeColor="text1"/>
          <w:szCs w:val="21"/>
          <w:lang w:eastAsia="zh-CN"/>
        </w:rPr>
        <w:t>的LCA模型示意图</w:t>
      </w:r>
    </w:p>
    <w:p w14:paraId="43FF8ECF">
      <w:pPr>
        <w:spacing w:line="400" w:lineRule="exact"/>
        <w:ind w:firstLine="560" w:firstLineChars="200"/>
        <w:jc w:val="left"/>
        <w:rPr>
          <w:rFonts w:hint="eastAsia" w:asciiTheme="minorEastAsia" w:hAnsiTheme="minorEastAsia"/>
          <w:sz w:val="24"/>
          <w:szCs w:val="24"/>
        </w:rPr>
      </w:pPr>
      <w:r>
        <w:rPr>
          <w:rFonts w:hint="eastAsia"/>
          <w:sz w:val="28"/>
          <w:szCs w:val="28"/>
        </w:rPr>
        <w:pict>
          <v:roundrect id="_x0000_s2138" o:spid="_x0000_s2138" o:spt="2" style="position:absolute;left:0pt;margin-left:385.1pt;margin-top:-115.8pt;height:28.45pt;width:73.65pt;z-index:251662336;mso-width-relative:page;mso-height-relative:page;" coordsize="21600,21600" arcsize="0.166666666666667">
            <v:path/>
            <v:fill focussize="0,0"/>
            <v:stroke/>
            <v:imagedata o:title=""/>
            <o:lock v:ext="edit"/>
            <v:textbox>
              <w:txbxContent>
                <w:p w14:paraId="479419C7">
                  <w:pPr>
                    <w:ind w:firstLine="105" w:firstLineChars="50"/>
                  </w:pPr>
                  <w:r>
                    <w:rPr>
                      <w:rFonts w:hint="eastAsia"/>
                    </w:rPr>
                    <w:t>铝合金锭</w:t>
                  </w:r>
                </w:p>
              </w:txbxContent>
            </v:textbox>
          </v:roundrect>
        </w:pict>
      </w:r>
      <w:r>
        <w:rPr>
          <w:rFonts w:hint="eastAsia"/>
        </w:rPr>
        <w:pict>
          <v:shape id="_x0000_s2137" o:spid="_x0000_s2137" o:spt="13" type="#_x0000_t13" style="position:absolute;left:0pt;margin-left:330.5pt;margin-top:-107.3pt;height:7.15pt;width:50.5pt;z-index:251661312;mso-width-relative:page;mso-height-relative:page;" coordsize="21600,21600">
            <v:path/>
            <v:fill focussize="0,0"/>
            <v:stroke joinstyle="miter"/>
            <v:imagedata o:title=""/>
            <o:lock v:ext="edit"/>
          </v:shape>
        </w:pict>
      </w:r>
      <w:r>
        <w:rPr>
          <w:rFonts w:hint="eastAsia" w:asciiTheme="minorEastAsia" w:hAnsiTheme="minorEastAsia"/>
          <w:sz w:val="24"/>
          <w:szCs w:val="24"/>
        </w:rPr>
        <w:t xml:space="preserve">2、 </w:t>
      </w:r>
      <w:bookmarkStart w:id="5" w:name="_Toc34241694"/>
      <w:bookmarkStart w:id="6" w:name="_Toc27737"/>
      <w:r>
        <w:rPr>
          <w:rFonts w:asciiTheme="minorEastAsia" w:hAnsiTheme="minorEastAsia"/>
          <w:sz w:val="24"/>
          <w:szCs w:val="24"/>
        </w:rPr>
        <w:t>LCA计算</w:t>
      </w:r>
      <w:bookmarkEnd w:id="5"/>
      <w:r>
        <w:rPr>
          <w:rFonts w:asciiTheme="minorEastAsia" w:hAnsiTheme="minorEastAsia"/>
          <w:sz w:val="24"/>
          <w:szCs w:val="24"/>
        </w:rPr>
        <w:t>方法</w:t>
      </w:r>
      <w:bookmarkEnd w:id="6"/>
    </w:p>
    <w:p w14:paraId="3E1675A3">
      <w:pPr>
        <w:spacing w:line="400" w:lineRule="exact"/>
        <w:ind w:firstLine="480" w:firstLineChars="200"/>
        <w:jc w:val="left"/>
        <w:rPr>
          <w:rFonts w:hint="eastAsia" w:cs="Times New Roman" w:asciiTheme="minorEastAsia" w:hAnsiTheme="minorEastAsia"/>
          <w:color w:val="000000" w:themeColor="text1"/>
          <w:sz w:val="24"/>
          <w:szCs w:val="24"/>
        </w:rPr>
      </w:pPr>
      <w:r>
        <w:rPr>
          <w:rFonts w:cs="Times New Roman" w:asciiTheme="minorEastAsia" w:hAnsiTheme="minorEastAsia"/>
          <w:color w:val="000000" w:themeColor="text1"/>
          <w:sz w:val="24"/>
          <w:szCs w:val="24"/>
        </w:rPr>
        <w:t>在整个生命周期过程中将同种清单物质累加，得到LCI结果。清单物质汇总的计算公式定义为：</w:t>
      </w:r>
    </w:p>
    <w:p w14:paraId="7EABD144">
      <w:pPr>
        <w:pStyle w:val="5"/>
        <w:spacing w:before="156" w:beforeLines="50" w:line="360" w:lineRule="auto"/>
        <w:rPr>
          <w:rStyle w:val="31"/>
          <w:rFonts w:hint="default" w:ascii="Times New Roman"/>
          <w:color w:val="000000" w:themeColor="text1"/>
        </w:rPr>
      </w:pPr>
      <m:oMathPara>
        <m:oMath>
          <m:sSub>
            <m:sSubPr>
              <m:ctrlPr>
                <w:rPr>
                  <w:rStyle w:val="31"/>
                  <w:rFonts w:hint="default" w:ascii="Cambria Math" w:hAnsi="Cambria Math"/>
                  <w:i/>
                  <w:color w:val="000000" w:themeColor="text1"/>
                </w:rPr>
              </m:ctrlPr>
            </m:sSubPr>
            <m:e>
              <m:r>
                <m:rPr/>
                <w:rPr>
                  <w:rStyle w:val="31"/>
                  <w:rFonts w:hint="default" w:ascii="Cambria Math" w:hAnsi="Cambria Math"/>
                  <w:color w:val="000000" w:themeColor="text1"/>
                </w:rPr>
                <m:t>LCI</m:t>
              </m:r>
              <m:ctrlPr>
                <w:rPr>
                  <w:rStyle w:val="31"/>
                  <w:rFonts w:hint="default" w:ascii="Cambria Math" w:hAnsi="Cambria Math"/>
                  <w:i/>
                  <w:color w:val="000000" w:themeColor="text1"/>
                </w:rPr>
              </m:ctrlPr>
            </m:e>
            <m:sub>
              <m:r>
                <m:rPr/>
                <w:rPr>
                  <w:rStyle w:val="31"/>
                  <w:rFonts w:hint="default" w:ascii="Cambria Math" w:hAnsi="Cambria Math"/>
                  <w:color w:val="000000" w:themeColor="text1"/>
                </w:rPr>
                <m:t>i</m:t>
              </m:r>
              <m:ctrlPr>
                <w:rPr>
                  <w:rStyle w:val="31"/>
                  <w:rFonts w:hint="default" w:ascii="Cambria Math" w:hAnsi="Cambria Math"/>
                  <w:i/>
                  <w:color w:val="000000" w:themeColor="text1"/>
                </w:rPr>
              </m:ctrlPr>
            </m:sub>
          </m:sSub>
          <m:r>
            <m:rPr/>
            <w:rPr>
              <w:rStyle w:val="31"/>
              <w:rFonts w:hint="default" w:ascii="Cambria Math" w:hAnsi="Cambria Math"/>
              <w:color w:val="000000" w:themeColor="text1"/>
            </w:rPr>
            <m:t>=</m:t>
          </m:r>
          <m:nary>
            <m:naryPr>
              <m:chr m:val="∑"/>
              <m:limLoc m:val="undOvr"/>
              <m:supHide m:val="1"/>
              <m:ctrlPr>
                <w:rPr>
                  <w:rStyle w:val="31"/>
                  <w:rFonts w:hint="default" w:ascii="Cambria Math" w:hAnsi="Cambria Math"/>
                  <w:i/>
                  <w:color w:val="000000" w:themeColor="text1"/>
                </w:rPr>
              </m:ctrlPr>
            </m:naryPr>
            <m:sub>
              <m:r>
                <m:rPr/>
                <w:rPr>
                  <w:rStyle w:val="31"/>
                  <w:rFonts w:hint="default" w:ascii="Cambria Math" w:hAnsi="Cambria Math"/>
                  <w:color w:val="000000" w:themeColor="text1"/>
                </w:rPr>
                <m:t>p</m:t>
              </m:r>
              <m:ctrlPr>
                <w:rPr>
                  <w:rStyle w:val="31"/>
                  <w:rFonts w:hint="default" w:ascii="Cambria Math" w:hAnsi="Cambria Math"/>
                  <w:i/>
                  <w:color w:val="000000" w:themeColor="text1"/>
                </w:rPr>
              </m:ctrlPr>
            </m:sub>
            <m:sup>
              <m:ctrlPr>
                <w:rPr>
                  <w:rStyle w:val="31"/>
                  <w:rFonts w:hint="default" w:ascii="Cambria Math" w:hAnsi="Cambria Math"/>
                  <w:i/>
                  <w:color w:val="000000" w:themeColor="text1"/>
                </w:rPr>
              </m:ctrlPr>
            </m:sup>
            <m:e>
              <m:sSub>
                <m:sSubPr>
                  <m:ctrlPr>
                    <w:rPr>
                      <w:rStyle w:val="31"/>
                      <w:rFonts w:hint="default" w:ascii="Cambria Math" w:hAnsi="Cambria Math"/>
                      <w:i/>
                      <w:color w:val="000000" w:themeColor="text1"/>
                    </w:rPr>
                  </m:ctrlPr>
                </m:sSubPr>
                <m:e>
                  <m:r>
                    <m:rPr/>
                    <w:rPr>
                      <w:rStyle w:val="31"/>
                      <w:rFonts w:hint="default" w:ascii="Cambria Math" w:hAnsi="Cambria Math"/>
                      <w:color w:val="000000" w:themeColor="text1"/>
                    </w:rPr>
                    <m:t>S</m:t>
                  </m:r>
                  <m:ctrlPr>
                    <w:rPr>
                      <w:rStyle w:val="31"/>
                      <w:rFonts w:hint="default" w:ascii="Cambria Math" w:hAnsi="Cambria Math"/>
                      <w:i/>
                      <w:color w:val="000000" w:themeColor="text1"/>
                    </w:rPr>
                  </m:ctrlPr>
                </m:e>
                <m:sub>
                  <m:r>
                    <m:rPr/>
                    <w:rPr>
                      <w:rStyle w:val="31"/>
                      <w:rFonts w:hint="default" w:ascii="Cambria Math" w:hAnsi="Cambria Math"/>
                      <w:color w:val="000000" w:themeColor="text1"/>
                    </w:rPr>
                    <m:t>p</m:t>
                  </m:r>
                  <m:ctrlPr>
                    <w:rPr>
                      <w:rStyle w:val="31"/>
                      <w:rFonts w:hint="default" w:ascii="Cambria Math" w:hAnsi="Cambria Math"/>
                      <w:i/>
                      <w:color w:val="000000" w:themeColor="text1"/>
                    </w:rPr>
                  </m:ctrlPr>
                </m:sub>
              </m:sSub>
              <m:ctrlPr>
                <w:rPr>
                  <w:rStyle w:val="31"/>
                  <w:rFonts w:hint="default" w:ascii="Cambria Math" w:hAnsi="Cambria Math"/>
                  <w:i/>
                  <w:color w:val="000000" w:themeColor="text1"/>
                </w:rPr>
              </m:ctrlPr>
            </m:e>
          </m:nary>
          <m:r>
            <m:rPr/>
            <w:rPr>
              <w:rStyle w:val="31"/>
              <w:rFonts w:hint="default" w:ascii="Cambria Math" w:hAnsi="Cambria Math"/>
              <w:color w:val="000000" w:themeColor="text1"/>
            </w:rPr>
            <m:t>×</m:t>
          </m:r>
          <m:sSub>
            <m:sSubPr>
              <m:ctrlPr>
                <w:rPr>
                  <w:rStyle w:val="31"/>
                  <w:rFonts w:hint="default" w:ascii="Cambria Math" w:hAnsi="Cambria Math"/>
                  <w:i/>
                  <w:color w:val="000000" w:themeColor="text1"/>
                </w:rPr>
              </m:ctrlPr>
            </m:sSubPr>
            <m:e>
              <m:r>
                <m:rPr/>
                <w:rPr>
                  <w:rStyle w:val="31"/>
                  <w:rFonts w:hint="default" w:ascii="Cambria Math" w:hAnsi="Cambria Math"/>
                  <w:color w:val="000000" w:themeColor="text1"/>
                </w:rPr>
                <m:t>inv</m:t>
              </m:r>
              <m:ctrlPr>
                <w:rPr>
                  <w:rStyle w:val="31"/>
                  <w:rFonts w:hint="default" w:ascii="Cambria Math" w:hAnsi="Cambria Math"/>
                  <w:i/>
                  <w:color w:val="000000" w:themeColor="text1"/>
                </w:rPr>
              </m:ctrlPr>
            </m:e>
            <m:sub>
              <m:r>
                <m:rPr/>
                <w:rPr>
                  <w:rStyle w:val="31"/>
                  <w:rFonts w:hint="default" w:ascii="Cambria Math" w:hAnsi="Cambria Math"/>
                  <w:color w:val="000000" w:themeColor="text1"/>
                </w:rPr>
                <m:t>ip</m:t>
              </m:r>
              <m:ctrlPr>
                <w:rPr>
                  <w:rStyle w:val="31"/>
                  <w:rFonts w:hint="default" w:ascii="Cambria Math" w:hAnsi="Cambria Math"/>
                  <w:i/>
                  <w:color w:val="000000" w:themeColor="text1"/>
                </w:rPr>
              </m:ctrlPr>
            </m:sub>
          </m:sSub>
        </m:oMath>
      </m:oMathPara>
    </w:p>
    <w:p w14:paraId="208822DA">
      <w:pPr>
        <w:pStyle w:val="5"/>
        <w:spacing w:after="0" w:line="400" w:lineRule="exact"/>
        <w:ind w:firstLine="480" w:firstLineChars="200"/>
        <w:jc w:val="left"/>
        <w:rPr>
          <w:rStyle w:val="31"/>
          <w:rFonts w:hint="default" w:asciiTheme="minorEastAsia" w:hAnsiTheme="minorEastAsia" w:eastAsiaTheme="minorEastAsia"/>
          <w:color w:val="000000" w:themeColor="text1"/>
        </w:rPr>
      </w:pPr>
      <w:r>
        <w:rPr>
          <w:rStyle w:val="31"/>
          <w:rFonts w:hint="default" w:asciiTheme="minorEastAsia" w:hAnsiTheme="minorEastAsia" w:eastAsiaTheme="minorEastAsia"/>
          <w:color w:val="000000" w:themeColor="text1"/>
        </w:rPr>
        <w:t>式中，</w:t>
      </w:r>
      <w:r>
        <w:rPr>
          <w:rStyle w:val="31"/>
          <w:rFonts w:hint="default" w:asciiTheme="minorEastAsia" w:hAnsiTheme="minorEastAsia" w:eastAsiaTheme="minorEastAsia"/>
          <w:i/>
          <w:iCs/>
          <w:color w:val="000000" w:themeColor="text1"/>
        </w:rPr>
        <w:t>i</w:t>
      </w:r>
      <w:r>
        <w:rPr>
          <w:rStyle w:val="31"/>
          <w:rFonts w:hint="default" w:asciiTheme="minorEastAsia" w:hAnsiTheme="minorEastAsia" w:eastAsiaTheme="minorEastAsia"/>
          <w:color w:val="000000" w:themeColor="text1"/>
        </w:rPr>
        <w:t>代表产品生命周期中的某种清单物质，如水耗、VOC、CO</w:t>
      </w:r>
      <w:r>
        <w:rPr>
          <w:rStyle w:val="31"/>
          <w:rFonts w:hint="default" w:asciiTheme="minorEastAsia" w:hAnsiTheme="minorEastAsia" w:eastAsiaTheme="minorEastAsia"/>
          <w:color w:val="000000" w:themeColor="text1"/>
          <w:vertAlign w:val="subscript"/>
        </w:rPr>
        <w:t>2</w:t>
      </w:r>
      <w:r>
        <w:rPr>
          <w:rStyle w:val="31"/>
          <w:rFonts w:hint="default" w:asciiTheme="minorEastAsia" w:hAnsiTheme="minorEastAsia" w:eastAsiaTheme="minorEastAsia"/>
          <w:color w:val="000000" w:themeColor="text1"/>
        </w:rPr>
        <w:t>等；</w:t>
      </w:r>
      <w:r>
        <w:rPr>
          <w:rStyle w:val="31"/>
          <w:rFonts w:hint="default" w:asciiTheme="minorEastAsia" w:hAnsiTheme="minorEastAsia" w:eastAsiaTheme="minorEastAsia"/>
          <w:i/>
          <w:iCs/>
          <w:color w:val="000000" w:themeColor="text1"/>
        </w:rPr>
        <w:t>P</w:t>
      </w:r>
      <w:r>
        <w:rPr>
          <w:rStyle w:val="31"/>
          <w:rFonts w:hint="default" w:asciiTheme="minorEastAsia" w:hAnsiTheme="minorEastAsia" w:eastAsiaTheme="minorEastAsia"/>
          <w:color w:val="000000" w:themeColor="text1"/>
        </w:rPr>
        <w:t>代表产品生命周期中的某个单元过程；</w:t>
      </w:r>
      <w:r>
        <w:rPr>
          <w:rStyle w:val="31"/>
          <w:rFonts w:hint="default" w:asciiTheme="minorEastAsia" w:hAnsiTheme="minorEastAsia" w:eastAsiaTheme="minorEastAsia"/>
          <w:i/>
          <w:iCs/>
          <w:color w:val="000000" w:themeColor="text1"/>
        </w:rPr>
        <w:t>inv</w:t>
      </w:r>
      <w:r>
        <w:rPr>
          <w:rStyle w:val="31"/>
          <w:rFonts w:hint="default" w:asciiTheme="minorEastAsia" w:hAnsiTheme="minorEastAsia" w:eastAsiaTheme="minorEastAsia"/>
          <w:i/>
          <w:iCs/>
          <w:color w:val="000000" w:themeColor="text1"/>
          <w:vertAlign w:val="subscript"/>
        </w:rPr>
        <w:t>ip</w:t>
      </w:r>
      <w:r>
        <w:rPr>
          <w:rStyle w:val="31"/>
          <w:rFonts w:hint="default" w:asciiTheme="minorEastAsia" w:hAnsiTheme="minorEastAsia" w:eastAsiaTheme="minorEastAsia"/>
          <w:color w:val="000000" w:themeColor="text1"/>
        </w:rPr>
        <w:t>表示某种清单物质i在产品全生命周期中某个单元过程</w:t>
      </w:r>
      <w:r>
        <w:rPr>
          <w:rStyle w:val="31"/>
          <w:rFonts w:hint="default" w:asciiTheme="minorEastAsia" w:hAnsiTheme="minorEastAsia" w:eastAsiaTheme="minorEastAsia"/>
          <w:i/>
          <w:iCs/>
          <w:color w:val="000000" w:themeColor="text1"/>
        </w:rPr>
        <w:t>p</w:t>
      </w:r>
      <w:r>
        <w:rPr>
          <w:rStyle w:val="31"/>
          <w:rFonts w:hint="default" w:asciiTheme="minorEastAsia" w:hAnsiTheme="minorEastAsia" w:eastAsiaTheme="minorEastAsia"/>
          <w:color w:val="000000" w:themeColor="text1"/>
        </w:rPr>
        <w:t>中的数量，</w:t>
      </w:r>
      <w:r>
        <w:rPr>
          <w:rStyle w:val="31"/>
          <w:rFonts w:hint="default" w:asciiTheme="minorEastAsia" w:hAnsiTheme="minorEastAsia" w:eastAsiaTheme="minorEastAsia"/>
          <w:i/>
          <w:iCs/>
          <w:color w:val="000000" w:themeColor="text1"/>
        </w:rPr>
        <w:t>S</w:t>
      </w:r>
      <w:r>
        <w:rPr>
          <w:rStyle w:val="31"/>
          <w:rFonts w:hint="default" w:asciiTheme="minorEastAsia" w:hAnsiTheme="minorEastAsia" w:eastAsiaTheme="minorEastAsia"/>
          <w:i/>
          <w:iCs/>
          <w:color w:val="000000" w:themeColor="text1"/>
          <w:vertAlign w:val="subscript"/>
        </w:rPr>
        <w:t>p</w:t>
      </w:r>
      <w:r>
        <w:rPr>
          <w:rStyle w:val="31"/>
          <w:rFonts w:hint="default" w:asciiTheme="minorEastAsia" w:hAnsiTheme="minorEastAsia" w:eastAsiaTheme="minorEastAsia"/>
          <w:color w:val="000000" w:themeColor="text1"/>
        </w:rPr>
        <w:t>是给定LCA计算基准流之后确定的过程</w:t>
      </w:r>
      <w:r>
        <w:rPr>
          <w:rStyle w:val="31"/>
          <w:rFonts w:hint="default" w:asciiTheme="minorEastAsia" w:hAnsiTheme="minorEastAsia" w:eastAsiaTheme="minorEastAsia"/>
          <w:i/>
          <w:iCs/>
          <w:color w:val="000000" w:themeColor="text1"/>
        </w:rPr>
        <w:t>p</w:t>
      </w:r>
      <w:r>
        <w:rPr>
          <w:rStyle w:val="31"/>
          <w:rFonts w:hint="default" w:asciiTheme="minorEastAsia" w:hAnsiTheme="minorEastAsia" w:eastAsiaTheme="minorEastAsia"/>
          <w:color w:val="000000" w:themeColor="text1"/>
        </w:rPr>
        <w:t>的过程系数；</w:t>
      </w:r>
      <w:r>
        <w:rPr>
          <w:rStyle w:val="31"/>
          <w:rFonts w:hint="default" w:asciiTheme="minorEastAsia" w:hAnsiTheme="minorEastAsia" w:eastAsiaTheme="minorEastAsia"/>
          <w:i/>
          <w:iCs/>
          <w:color w:val="000000" w:themeColor="text1"/>
        </w:rPr>
        <w:t>LCI</w:t>
      </w:r>
      <w:r>
        <w:rPr>
          <w:rStyle w:val="31"/>
          <w:rFonts w:hint="default" w:asciiTheme="minorEastAsia" w:hAnsiTheme="minorEastAsia" w:eastAsiaTheme="minorEastAsia"/>
          <w:i/>
          <w:iCs/>
          <w:color w:val="000000" w:themeColor="text1"/>
          <w:vertAlign w:val="subscript"/>
        </w:rPr>
        <w:t>i</w:t>
      </w:r>
      <w:r>
        <w:rPr>
          <w:rStyle w:val="31"/>
          <w:rFonts w:hint="default" w:asciiTheme="minorEastAsia" w:hAnsiTheme="minorEastAsia" w:eastAsiaTheme="minorEastAsia"/>
          <w:color w:val="000000" w:themeColor="text1"/>
        </w:rPr>
        <w:t>表示在产品生命周期评价中包含的某种清单物质</w:t>
      </w:r>
      <w:r>
        <w:rPr>
          <w:rStyle w:val="31"/>
          <w:rFonts w:hint="default" w:asciiTheme="minorEastAsia" w:hAnsiTheme="minorEastAsia" w:eastAsiaTheme="minorEastAsia"/>
          <w:i/>
          <w:iCs/>
          <w:color w:val="000000" w:themeColor="text1"/>
        </w:rPr>
        <w:t>i</w:t>
      </w:r>
      <w:r>
        <w:rPr>
          <w:rStyle w:val="31"/>
          <w:rFonts w:hint="default" w:asciiTheme="minorEastAsia" w:hAnsiTheme="minorEastAsia" w:eastAsiaTheme="minorEastAsia"/>
          <w:color w:val="000000" w:themeColor="text1"/>
        </w:rPr>
        <w:t>的LCA累加结果。</w:t>
      </w:r>
      <w:r>
        <w:rPr>
          <w:rStyle w:val="31"/>
          <w:rFonts w:hint="default" w:asciiTheme="minorEastAsia" w:hAnsiTheme="minorEastAsia" w:eastAsiaTheme="minorEastAsia"/>
          <w:color w:val="000000" w:themeColor="text1"/>
          <w:vertAlign w:val="superscript"/>
        </w:rPr>
        <w:t>[5]</w:t>
      </w:r>
    </w:p>
    <w:p w14:paraId="21ADD67F">
      <w:pPr>
        <w:pStyle w:val="5"/>
        <w:spacing w:after="0" w:line="400" w:lineRule="exact"/>
        <w:jc w:val="left"/>
        <w:rPr>
          <w:rStyle w:val="31"/>
          <w:rFonts w:hint="default" w:asciiTheme="minorEastAsia" w:hAnsiTheme="minorEastAsia" w:eastAsiaTheme="minorEastAsia"/>
          <w:color w:val="000000" w:themeColor="text1"/>
        </w:rPr>
      </w:pPr>
      <w:bookmarkStart w:id="7" w:name="_Toc20599"/>
      <w:bookmarkStart w:id="8" w:name="_Toc34241696"/>
      <w:r>
        <w:rPr>
          <w:rStyle w:val="31"/>
          <w:rFonts w:hint="default" w:asciiTheme="minorEastAsia" w:hAnsiTheme="minorEastAsia" w:eastAsiaTheme="minorEastAsia"/>
          <w:color w:val="000000" w:themeColor="text1"/>
        </w:rPr>
        <w:t>3、LCA计算结果</w:t>
      </w:r>
      <w:bookmarkEnd w:id="7"/>
      <w:bookmarkEnd w:id="8"/>
    </w:p>
    <w:p w14:paraId="250A7CB0">
      <w:pPr>
        <w:pStyle w:val="5"/>
        <w:spacing w:after="0" w:line="400" w:lineRule="exact"/>
        <w:ind w:firstLine="480" w:firstLineChars="200"/>
        <w:jc w:val="left"/>
        <w:rPr>
          <w:rStyle w:val="31"/>
          <w:rFonts w:hint="default" w:asciiTheme="minorEastAsia" w:hAnsiTheme="minorEastAsia" w:eastAsiaTheme="minorEastAsia"/>
          <w:color w:val="000000" w:themeColor="text1"/>
        </w:rPr>
      </w:pPr>
      <w:r>
        <w:rPr>
          <w:rStyle w:val="31"/>
          <w:rFonts w:hint="default" w:asciiTheme="minorEastAsia" w:hAnsiTheme="minorEastAsia" w:eastAsiaTheme="minorEastAsia"/>
          <w:color w:val="000000" w:themeColor="text1"/>
        </w:rPr>
        <w:t>基于产品生命周期模型和计算方法，利用绿色设计平台的LCA模块，计算得到1吨A356铝合金产品的LCA结果如下。计算指标分为气候变化 (Climate Change, GWP），初级能源消耗 (Primary Energy Demand, PED)、水资源消耗 (Resource Depletion – water, WU)、酸化 (Acidification, AP)、粒物 (Particulate matter, PM)，共5个指标。</w:t>
      </w:r>
    </w:p>
    <w:p w14:paraId="1E5E2868">
      <w:pPr>
        <w:pStyle w:val="5"/>
        <w:spacing w:after="0" w:line="400" w:lineRule="exact"/>
        <w:ind w:firstLine="480" w:firstLineChars="200"/>
        <w:jc w:val="left"/>
        <w:rPr>
          <w:rStyle w:val="31"/>
          <w:rFonts w:hint="default" w:asciiTheme="minorEastAsia" w:hAnsiTheme="minorEastAsia" w:eastAsiaTheme="minorEastAsia"/>
          <w:color w:val="000000" w:themeColor="text1"/>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14:paraId="4D8C3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0" w:type="dxa"/>
            <w:vAlign w:val="center"/>
          </w:tcPr>
          <w:p w14:paraId="1D40E7AA">
            <w:pPr>
              <w:pStyle w:val="22"/>
              <w:spacing w:line="0" w:lineRule="atLeast"/>
              <w:ind w:left="113"/>
              <w:jc w:val="center"/>
              <w:rPr>
                <w:rFonts w:hint="eastAsia"/>
                <w:spacing w:val="-1"/>
                <w:highlight w:val="none"/>
                <w:lang w:eastAsia="zh-CN"/>
              </w:rPr>
            </w:pPr>
            <w:r>
              <w:rPr>
                <w:spacing w:val="-1"/>
                <w:highlight w:val="none"/>
                <w:lang w:eastAsia="zh-CN"/>
              </w:rPr>
              <w:t>指标名称</w:t>
            </w:r>
          </w:p>
        </w:tc>
        <w:tc>
          <w:tcPr>
            <w:tcW w:w="2130" w:type="dxa"/>
            <w:vAlign w:val="center"/>
          </w:tcPr>
          <w:p w14:paraId="5E041BFA">
            <w:pPr>
              <w:pStyle w:val="22"/>
              <w:spacing w:line="0" w:lineRule="atLeast"/>
              <w:ind w:left="113"/>
              <w:jc w:val="center"/>
              <w:rPr>
                <w:rFonts w:hint="eastAsia"/>
                <w:spacing w:val="-1"/>
                <w:highlight w:val="none"/>
                <w:lang w:eastAsia="zh-CN"/>
              </w:rPr>
            </w:pPr>
            <w:r>
              <w:rPr>
                <w:spacing w:val="-1"/>
                <w:highlight w:val="none"/>
                <w:lang w:eastAsia="zh-CN"/>
              </w:rPr>
              <w:t>缩写</w:t>
            </w:r>
          </w:p>
        </w:tc>
        <w:tc>
          <w:tcPr>
            <w:tcW w:w="2131" w:type="dxa"/>
            <w:vAlign w:val="center"/>
          </w:tcPr>
          <w:p w14:paraId="5EB24100">
            <w:pPr>
              <w:pStyle w:val="22"/>
              <w:spacing w:line="0" w:lineRule="atLeast"/>
              <w:ind w:left="113"/>
              <w:jc w:val="center"/>
              <w:rPr>
                <w:rFonts w:hint="eastAsia"/>
                <w:spacing w:val="-1"/>
                <w:highlight w:val="none"/>
                <w:lang w:eastAsia="zh-CN"/>
              </w:rPr>
            </w:pPr>
            <w:r>
              <w:rPr>
                <w:spacing w:val="-1"/>
                <w:highlight w:val="none"/>
                <w:lang w:eastAsia="zh-CN"/>
              </w:rPr>
              <w:t>单位</w:t>
            </w:r>
          </w:p>
        </w:tc>
        <w:tc>
          <w:tcPr>
            <w:tcW w:w="2131" w:type="dxa"/>
            <w:vAlign w:val="center"/>
          </w:tcPr>
          <w:p w14:paraId="77748E83">
            <w:pPr>
              <w:pStyle w:val="22"/>
              <w:spacing w:line="0" w:lineRule="atLeast"/>
              <w:ind w:left="113"/>
              <w:jc w:val="center"/>
              <w:rPr>
                <w:rFonts w:hint="eastAsia"/>
                <w:spacing w:val="-1"/>
                <w:highlight w:val="none"/>
                <w:lang w:eastAsia="zh-CN"/>
              </w:rPr>
            </w:pPr>
            <w:r>
              <w:rPr>
                <w:spacing w:val="-1"/>
                <w:highlight w:val="none"/>
                <w:lang w:eastAsia="zh-CN"/>
              </w:rPr>
              <w:t>结果</w:t>
            </w:r>
          </w:p>
        </w:tc>
      </w:tr>
      <w:tr w14:paraId="03533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0" w:type="dxa"/>
            <w:vAlign w:val="center"/>
          </w:tcPr>
          <w:p w14:paraId="18564C49">
            <w:pPr>
              <w:pStyle w:val="22"/>
              <w:spacing w:line="0" w:lineRule="atLeast"/>
              <w:ind w:left="113"/>
              <w:jc w:val="center"/>
              <w:rPr>
                <w:rFonts w:hint="eastAsia"/>
                <w:spacing w:val="-1"/>
                <w:highlight w:val="none"/>
                <w:lang w:eastAsia="zh-CN"/>
              </w:rPr>
            </w:pPr>
            <w:r>
              <w:rPr>
                <w:spacing w:val="-1"/>
                <w:highlight w:val="none"/>
                <w:lang w:eastAsia="zh-CN"/>
              </w:rPr>
              <w:t>气候变化</w:t>
            </w:r>
          </w:p>
        </w:tc>
        <w:tc>
          <w:tcPr>
            <w:tcW w:w="2130" w:type="dxa"/>
            <w:vAlign w:val="center"/>
          </w:tcPr>
          <w:p w14:paraId="41B9459D">
            <w:pPr>
              <w:pStyle w:val="22"/>
              <w:spacing w:line="0" w:lineRule="atLeast"/>
              <w:ind w:left="113"/>
              <w:jc w:val="center"/>
              <w:rPr>
                <w:rFonts w:hint="eastAsia"/>
                <w:spacing w:val="-1"/>
                <w:highlight w:val="none"/>
                <w:lang w:eastAsia="zh-CN"/>
              </w:rPr>
            </w:pPr>
            <w:r>
              <w:rPr>
                <w:spacing w:val="-1"/>
                <w:highlight w:val="none"/>
                <w:lang w:eastAsia="zh-CN"/>
              </w:rPr>
              <w:t>GWP</w:t>
            </w:r>
          </w:p>
        </w:tc>
        <w:tc>
          <w:tcPr>
            <w:tcW w:w="2131" w:type="dxa"/>
            <w:vAlign w:val="center"/>
          </w:tcPr>
          <w:p w14:paraId="7BB0819B">
            <w:pPr>
              <w:pStyle w:val="22"/>
              <w:spacing w:line="0" w:lineRule="atLeast"/>
              <w:ind w:left="113"/>
              <w:jc w:val="center"/>
              <w:rPr>
                <w:rFonts w:hint="eastAsia"/>
                <w:spacing w:val="-1"/>
                <w:highlight w:val="none"/>
                <w:lang w:eastAsia="zh-CN"/>
              </w:rPr>
            </w:pPr>
            <w:r>
              <w:rPr>
                <w:rFonts w:ascii="Times New Roman" w:hAnsi="Times New Roman" w:cs="Times New Roman"/>
                <w:color w:val="000000" w:themeColor="text1"/>
                <w:sz w:val="21"/>
                <w:szCs w:val="21"/>
                <w:highlight w:val="none"/>
              </w:rPr>
              <w:t>(kg CO2 eq.)</w:t>
            </w:r>
          </w:p>
        </w:tc>
        <w:tc>
          <w:tcPr>
            <w:tcW w:w="2131" w:type="dxa"/>
            <w:vAlign w:val="center"/>
          </w:tcPr>
          <w:p w14:paraId="3D6914E4">
            <w:pPr>
              <w:pStyle w:val="22"/>
              <w:spacing w:line="0" w:lineRule="atLeast"/>
              <w:ind w:left="113"/>
              <w:jc w:val="center"/>
              <w:rPr>
                <w:rFonts w:hint="default" w:ascii="Times New Roman" w:hAnsi="Times New Roman" w:eastAsia="宋体" w:cs="Times New Roman"/>
                <w:color w:val="000000" w:themeColor="text1"/>
                <w:sz w:val="21"/>
                <w:szCs w:val="21"/>
                <w:highlight w:val="none"/>
                <w:lang w:val="en-US" w:eastAsia="zh-CN"/>
              </w:rPr>
            </w:pPr>
            <w:r>
              <w:rPr>
                <w:rFonts w:hint="eastAsia" w:ascii="Times New Roman" w:hAnsi="Times New Roman" w:cs="Times New Roman"/>
                <w:color w:val="000000" w:themeColor="text1"/>
                <w:sz w:val="21"/>
                <w:szCs w:val="21"/>
                <w:highlight w:val="none"/>
              </w:rPr>
              <w:t>15.</w:t>
            </w:r>
            <w:r>
              <w:rPr>
                <w:rFonts w:hint="eastAsia" w:ascii="Times New Roman" w:hAnsi="Times New Roman" w:cs="Times New Roman"/>
                <w:color w:val="000000" w:themeColor="text1"/>
                <w:sz w:val="21"/>
                <w:szCs w:val="21"/>
                <w:highlight w:val="none"/>
                <w:lang w:val="en-US" w:eastAsia="zh-CN"/>
              </w:rPr>
              <w:t>70</w:t>
            </w:r>
          </w:p>
        </w:tc>
      </w:tr>
      <w:tr w14:paraId="13DA7B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0" w:type="dxa"/>
            <w:vAlign w:val="center"/>
          </w:tcPr>
          <w:p w14:paraId="29D03F8F">
            <w:pPr>
              <w:pStyle w:val="22"/>
              <w:spacing w:line="0" w:lineRule="atLeast"/>
              <w:ind w:left="113"/>
              <w:jc w:val="center"/>
              <w:rPr>
                <w:rFonts w:hint="eastAsia"/>
                <w:spacing w:val="-1"/>
                <w:highlight w:val="none"/>
                <w:lang w:eastAsia="zh-CN"/>
              </w:rPr>
            </w:pPr>
            <w:r>
              <w:rPr>
                <w:spacing w:val="-1"/>
                <w:highlight w:val="none"/>
                <w:lang w:eastAsia="zh-CN"/>
              </w:rPr>
              <w:t>初级能源消耗</w:t>
            </w:r>
          </w:p>
        </w:tc>
        <w:tc>
          <w:tcPr>
            <w:tcW w:w="2130" w:type="dxa"/>
            <w:vAlign w:val="center"/>
          </w:tcPr>
          <w:p w14:paraId="35231211">
            <w:pPr>
              <w:pStyle w:val="22"/>
              <w:spacing w:line="0" w:lineRule="atLeast"/>
              <w:ind w:left="113"/>
              <w:jc w:val="center"/>
              <w:rPr>
                <w:rFonts w:hint="eastAsia"/>
                <w:spacing w:val="-1"/>
                <w:highlight w:val="none"/>
                <w:lang w:eastAsia="zh-CN"/>
              </w:rPr>
            </w:pPr>
            <w:r>
              <w:rPr>
                <w:spacing w:val="-1"/>
                <w:highlight w:val="none"/>
                <w:lang w:eastAsia="zh-CN"/>
              </w:rPr>
              <w:t>PED</w:t>
            </w:r>
          </w:p>
        </w:tc>
        <w:tc>
          <w:tcPr>
            <w:tcW w:w="2131" w:type="dxa"/>
            <w:vAlign w:val="center"/>
          </w:tcPr>
          <w:p w14:paraId="1D78DABD">
            <w:pPr>
              <w:pStyle w:val="22"/>
              <w:spacing w:line="0" w:lineRule="atLeast"/>
              <w:ind w:left="113"/>
              <w:jc w:val="center"/>
              <w:rPr>
                <w:rFonts w:hint="eastAsia"/>
                <w:spacing w:val="-1"/>
                <w:highlight w:val="none"/>
                <w:lang w:eastAsia="zh-CN"/>
              </w:rPr>
            </w:pPr>
            <w:r>
              <w:rPr>
                <w:rFonts w:ascii="Times New Roman" w:hAnsi="Times New Roman" w:cs="Times New Roman"/>
                <w:color w:val="000000" w:themeColor="text1"/>
                <w:sz w:val="21"/>
                <w:szCs w:val="21"/>
                <w:highlight w:val="none"/>
              </w:rPr>
              <w:t>(MJ)</w:t>
            </w:r>
            <w:r>
              <w:rPr>
                <w:rFonts w:hint="eastAsia" w:ascii="Times New Roman" w:hAnsi="Times New Roman" w:cs="Times New Roman"/>
                <w:color w:val="000000" w:themeColor="text1"/>
                <w:sz w:val="21"/>
                <w:szCs w:val="21"/>
                <w:highlight w:val="none"/>
                <w:lang w:eastAsia="zh-CN"/>
              </w:rPr>
              <w:t>/NM</w:t>
            </w:r>
            <w:r>
              <w:rPr>
                <w:rFonts w:hint="eastAsia" w:ascii="Times New Roman" w:hAnsi="Times New Roman" w:cs="Times New Roman"/>
                <w:color w:val="000000" w:themeColor="text1"/>
                <w:sz w:val="21"/>
                <w:szCs w:val="21"/>
                <w:highlight w:val="none"/>
                <w:vertAlign w:val="superscript"/>
                <w:lang w:eastAsia="zh-CN"/>
              </w:rPr>
              <w:t>3</w:t>
            </w:r>
          </w:p>
        </w:tc>
        <w:tc>
          <w:tcPr>
            <w:tcW w:w="2131" w:type="dxa"/>
            <w:vAlign w:val="center"/>
          </w:tcPr>
          <w:p w14:paraId="406C3FDB">
            <w:pPr>
              <w:pStyle w:val="22"/>
              <w:spacing w:line="0" w:lineRule="atLeast"/>
              <w:ind w:left="113"/>
              <w:jc w:val="center"/>
              <w:rPr>
                <w:rFonts w:ascii="Times New Roman" w:hAnsi="Times New Roman" w:cs="Times New Roman"/>
                <w:color w:val="000000" w:themeColor="text1"/>
                <w:sz w:val="21"/>
                <w:szCs w:val="21"/>
                <w:highlight w:val="none"/>
                <w:lang w:eastAsia="zh-CN"/>
              </w:rPr>
            </w:pPr>
            <w:r>
              <w:rPr>
                <w:rFonts w:hint="eastAsia" w:ascii="Times New Roman" w:hAnsi="Times New Roman" w:cs="Times New Roman"/>
                <w:color w:val="000000" w:themeColor="text1"/>
                <w:sz w:val="21"/>
                <w:szCs w:val="21"/>
                <w:highlight w:val="none"/>
                <w:lang w:eastAsia="zh-CN"/>
              </w:rPr>
              <w:t>3499</w:t>
            </w:r>
          </w:p>
        </w:tc>
      </w:tr>
      <w:tr w14:paraId="778943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0" w:type="dxa"/>
            <w:vAlign w:val="center"/>
          </w:tcPr>
          <w:p w14:paraId="3FB01218">
            <w:pPr>
              <w:pStyle w:val="22"/>
              <w:spacing w:line="0" w:lineRule="atLeast"/>
              <w:ind w:left="113"/>
              <w:jc w:val="center"/>
              <w:rPr>
                <w:rFonts w:hint="eastAsia"/>
                <w:spacing w:val="-1"/>
                <w:highlight w:val="none"/>
                <w:lang w:eastAsia="zh-CN"/>
              </w:rPr>
            </w:pPr>
            <w:r>
              <w:rPr>
                <w:spacing w:val="-1"/>
                <w:highlight w:val="none"/>
                <w:lang w:eastAsia="zh-CN"/>
              </w:rPr>
              <w:t>水资源消耗</w:t>
            </w:r>
          </w:p>
        </w:tc>
        <w:tc>
          <w:tcPr>
            <w:tcW w:w="2130" w:type="dxa"/>
            <w:vAlign w:val="center"/>
          </w:tcPr>
          <w:p w14:paraId="60B2F12B">
            <w:pPr>
              <w:pStyle w:val="22"/>
              <w:spacing w:line="0" w:lineRule="atLeast"/>
              <w:ind w:left="113"/>
              <w:jc w:val="center"/>
              <w:rPr>
                <w:rFonts w:hint="eastAsia"/>
                <w:spacing w:val="-1"/>
                <w:highlight w:val="none"/>
                <w:lang w:eastAsia="zh-CN"/>
              </w:rPr>
            </w:pPr>
            <w:r>
              <w:rPr>
                <w:spacing w:val="-1"/>
                <w:highlight w:val="none"/>
                <w:lang w:eastAsia="zh-CN"/>
              </w:rPr>
              <w:t>WU</w:t>
            </w:r>
          </w:p>
        </w:tc>
        <w:tc>
          <w:tcPr>
            <w:tcW w:w="2131" w:type="dxa"/>
            <w:vAlign w:val="center"/>
          </w:tcPr>
          <w:p w14:paraId="4BDADF47">
            <w:pPr>
              <w:pStyle w:val="22"/>
              <w:spacing w:line="0" w:lineRule="atLeast"/>
              <w:ind w:left="113"/>
              <w:jc w:val="center"/>
              <w:rPr>
                <w:rFonts w:hint="eastAsia"/>
                <w:spacing w:val="-1"/>
                <w:highlight w:val="none"/>
                <w:lang w:eastAsia="zh-CN"/>
              </w:rPr>
            </w:pPr>
            <w:r>
              <w:rPr>
                <w:rFonts w:hint="eastAsia" w:ascii="Times New Roman" w:hAnsi="Times New Roman" w:cs="Times New Roman"/>
                <w:color w:val="000000" w:themeColor="text1"/>
                <w:sz w:val="21"/>
                <w:szCs w:val="21"/>
                <w:highlight w:val="none"/>
              </w:rPr>
              <w:t>M</w:t>
            </w:r>
            <w:r>
              <w:rPr>
                <w:rFonts w:hint="eastAsia" w:ascii="Times New Roman" w:hAnsi="Times New Roman" w:cs="Times New Roman"/>
                <w:color w:val="000000" w:themeColor="text1"/>
                <w:sz w:val="21"/>
                <w:szCs w:val="21"/>
                <w:highlight w:val="none"/>
                <w:vertAlign w:val="superscript"/>
                <w:lang w:eastAsia="zh-CN"/>
              </w:rPr>
              <w:t>3</w:t>
            </w:r>
            <w:r>
              <w:rPr>
                <w:rFonts w:hint="eastAsia" w:ascii="Times New Roman" w:hAnsi="Times New Roman" w:cs="Times New Roman"/>
                <w:color w:val="000000" w:themeColor="text1"/>
                <w:sz w:val="21"/>
                <w:szCs w:val="21"/>
                <w:highlight w:val="none"/>
              </w:rPr>
              <w:t>/t</w:t>
            </w:r>
          </w:p>
        </w:tc>
        <w:tc>
          <w:tcPr>
            <w:tcW w:w="2131" w:type="dxa"/>
            <w:vAlign w:val="center"/>
          </w:tcPr>
          <w:p w14:paraId="26B48CC6">
            <w:pPr>
              <w:pStyle w:val="22"/>
              <w:spacing w:line="0" w:lineRule="atLeast"/>
              <w:ind w:left="113"/>
              <w:jc w:val="center"/>
              <w:rPr>
                <w:rFonts w:hint="default" w:ascii="Times New Roman" w:hAnsi="Times New Roman" w:eastAsia="宋体" w:cs="Times New Roman"/>
                <w:color w:val="000000" w:themeColor="text1"/>
                <w:sz w:val="21"/>
                <w:szCs w:val="21"/>
                <w:highlight w:val="none"/>
                <w:lang w:val="en-US" w:eastAsia="zh-CN"/>
              </w:rPr>
            </w:pPr>
            <w:r>
              <w:rPr>
                <w:rFonts w:hint="eastAsia" w:ascii="Times New Roman" w:hAnsi="Times New Roman" w:cs="Times New Roman"/>
                <w:color w:val="000000" w:themeColor="text1"/>
                <w:sz w:val="21"/>
                <w:szCs w:val="21"/>
                <w:highlight w:val="none"/>
                <w:lang w:val="en-US" w:eastAsia="zh-CN"/>
              </w:rPr>
              <w:t>0.00</w:t>
            </w:r>
          </w:p>
        </w:tc>
      </w:tr>
      <w:tr w14:paraId="6E8F21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0" w:type="dxa"/>
            <w:vAlign w:val="center"/>
          </w:tcPr>
          <w:p w14:paraId="67F2285B">
            <w:pPr>
              <w:pStyle w:val="22"/>
              <w:spacing w:line="0" w:lineRule="atLeast"/>
              <w:ind w:left="113"/>
              <w:jc w:val="center"/>
              <w:rPr>
                <w:rFonts w:hint="eastAsia"/>
                <w:spacing w:val="-1"/>
                <w:highlight w:val="none"/>
                <w:lang w:eastAsia="zh-CN"/>
              </w:rPr>
            </w:pPr>
            <w:r>
              <w:rPr>
                <w:spacing w:val="-1"/>
                <w:highlight w:val="none"/>
                <w:lang w:eastAsia="zh-CN"/>
              </w:rPr>
              <w:t>酸化</w:t>
            </w:r>
          </w:p>
        </w:tc>
        <w:tc>
          <w:tcPr>
            <w:tcW w:w="2130" w:type="dxa"/>
            <w:vAlign w:val="center"/>
          </w:tcPr>
          <w:p w14:paraId="50030FB0">
            <w:pPr>
              <w:pStyle w:val="22"/>
              <w:spacing w:line="0" w:lineRule="atLeast"/>
              <w:ind w:left="113"/>
              <w:jc w:val="center"/>
              <w:rPr>
                <w:rFonts w:hint="eastAsia"/>
                <w:spacing w:val="-1"/>
                <w:highlight w:val="none"/>
                <w:lang w:eastAsia="zh-CN"/>
              </w:rPr>
            </w:pPr>
            <w:r>
              <w:rPr>
                <w:spacing w:val="-1"/>
                <w:highlight w:val="none"/>
                <w:lang w:eastAsia="zh-CN"/>
              </w:rPr>
              <w:t>AP</w:t>
            </w:r>
          </w:p>
        </w:tc>
        <w:tc>
          <w:tcPr>
            <w:tcW w:w="2131" w:type="dxa"/>
            <w:vAlign w:val="center"/>
          </w:tcPr>
          <w:p w14:paraId="207DAA9B">
            <w:pPr>
              <w:pStyle w:val="22"/>
              <w:spacing w:line="0" w:lineRule="atLeast"/>
              <w:ind w:left="113"/>
              <w:jc w:val="center"/>
              <w:rPr>
                <w:rFonts w:hint="eastAsia"/>
                <w:spacing w:val="-1"/>
                <w:highlight w:val="none"/>
                <w:lang w:eastAsia="zh-CN"/>
              </w:rPr>
            </w:pPr>
            <w:r>
              <w:rPr>
                <w:rFonts w:ascii="Times New Roman" w:hAnsi="Times New Roman" w:cs="Times New Roman"/>
                <w:color w:val="000000" w:themeColor="text1"/>
                <w:sz w:val="21"/>
                <w:szCs w:val="21"/>
                <w:highlight w:val="none"/>
              </w:rPr>
              <w:t>（kg SO2 eq）</w:t>
            </w:r>
          </w:p>
        </w:tc>
        <w:tc>
          <w:tcPr>
            <w:tcW w:w="2131" w:type="dxa"/>
            <w:vAlign w:val="center"/>
          </w:tcPr>
          <w:p w14:paraId="1006C3B8">
            <w:pPr>
              <w:pStyle w:val="22"/>
              <w:spacing w:line="0" w:lineRule="atLeast"/>
              <w:ind w:left="113"/>
              <w:jc w:val="center"/>
              <w:rPr>
                <w:rFonts w:ascii="Times New Roman" w:hAnsi="Times New Roman" w:cs="Times New Roman"/>
                <w:color w:val="000000" w:themeColor="text1"/>
                <w:sz w:val="21"/>
                <w:szCs w:val="21"/>
                <w:highlight w:val="none"/>
                <w:lang w:eastAsia="zh-CN"/>
              </w:rPr>
            </w:pPr>
            <w:r>
              <w:rPr>
                <w:rFonts w:hint="eastAsia" w:ascii="Times New Roman" w:hAnsi="Times New Roman" w:cs="Times New Roman"/>
                <w:color w:val="000000" w:themeColor="text1"/>
                <w:sz w:val="21"/>
                <w:szCs w:val="21"/>
                <w:highlight w:val="none"/>
                <w:lang w:eastAsia="zh-CN"/>
              </w:rPr>
              <w:t>0.021</w:t>
            </w:r>
          </w:p>
        </w:tc>
      </w:tr>
      <w:tr w14:paraId="11967C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2130" w:type="dxa"/>
            <w:vAlign w:val="center"/>
          </w:tcPr>
          <w:p w14:paraId="03FCFD9C">
            <w:pPr>
              <w:pStyle w:val="22"/>
              <w:spacing w:line="0" w:lineRule="atLeast"/>
              <w:ind w:left="113"/>
              <w:jc w:val="center"/>
              <w:rPr>
                <w:rFonts w:hint="eastAsia"/>
                <w:spacing w:val="-1"/>
                <w:highlight w:val="none"/>
                <w:lang w:eastAsia="zh-CN"/>
              </w:rPr>
            </w:pPr>
            <w:r>
              <w:rPr>
                <w:spacing w:val="-1"/>
                <w:highlight w:val="none"/>
                <w:lang w:eastAsia="zh-CN"/>
              </w:rPr>
              <w:t>颗粒物</w:t>
            </w:r>
          </w:p>
        </w:tc>
        <w:tc>
          <w:tcPr>
            <w:tcW w:w="2130" w:type="dxa"/>
            <w:vAlign w:val="center"/>
          </w:tcPr>
          <w:p w14:paraId="1B9A088A">
            <w:pPr>
              <w:pStyle w:val="22"/>
              <w:spacing w:line="0" w:lineRule="atLeast"/>
              <w:ind w:left="113"/>
              <w:jc w:val="center"/>
              <w:rPr>
                <w:rFonts w:hint="eastAsia"/>
                <w:spacing w:val="-1"/>
                <w:highlight w:val="none"/>
                <w:lang w:eastAsia="zh-CN"/>
              </w:rPr>
            </w:pPr>
            <w:r>
              <w:rPr>
                <w:spacing w:val="-1"/>
                <w:highlight w:val="none"/>
                <w:lang w:eastAsia="zh-CN"/>
              </w:rPr>
              <w:t>PM</w:t>
            </w:r>
          </w:p>
        </w:tc>
        <w:tc>
          <w:tcPr>
            <w:tcW w:w="2131" w:type="dxa"/>
            <w:vAlign w:val="center"/>
          </w:tcPr>
          <w:p w14:paraId="7F4658D1">
            <w:pPr>
              <w:pStyle w:val="22"/>
              <w:spacing w:line="0" w:lineRule="atLeast"/>
              <w:ind w:left="113"/>
              <w:rPr>
                <w:rFonts w:hint="eastAsia"/>
                <w:spacing w:val="-1"/>
                <w:highlight w:val="none"/>
                <w:lang w:eastAsia="zh-CN"/>
              </w:rPr>
            </w:pPr>
            <w:r>
              <w:rPr>
                <w:rFonts w:hint="eastAsia"/>
                <w:spacing w:val="-1"/>
                <w:highlight w:val="none"/>
                <w:lang w:eastAsia="zh-CN"/>
              </w:rPr>
              <w:t xml:space="preserve">      </w:t>
            </w:r>
            <w:r>
              <w:rPr>
                <w:rFonts w:ascii="Times New Roman" w:hAnsi="Times New Roman" w:cs="Times New Roman"/>
                <w:color w:val="000000" w:themeColor="text1"/>
                <w:sz w:val="21"/>
                <w:szCs w:val="21"/>
                <w:highlight w:val="none"/>
              </w:rPr>
              <w:t>(PM2.5 eq)</w:t>
            </w:r>
          </w:p>
        </w:tc>
        <w:tc>
          <w:tcPr>
            <w:tcW w:w="2131" w:type="dxa"/>
            <w:vAlign w:val="center"/>
          </w:tcPr>
          <w:p w14:paraId="48CA3D17">
            <w:pPr>
              <w:pStyle w:val="22"/>
              <w:spacing w:line="0" w:lineRule="atLeast"/>
              <w:ind w:left="113"/>
              <w:jc w:val="center"/>
              <w:rPr>
                <w:rFonts w:ascii="Times New Roman" w:hAnsi="Times New Roman" w:cs="Times New Roman"/>
                <w:color w:val="000000" w:themeColor="text1"/>
                <w:sz w:val="21"/>
                <w:szCs w:val="21"/>
                <w:highlight w:val="none"/>
                <w:lang w:eastAsia="zh-CN"/>
              </w:rPr>
            </w:pPr>
            <w:r>
              <w:rPr>
                <w:rFonts w:hint="eastAsia" w:ascii="Times New Roman" w:hAnsi="Times New Roman" w:cs="Times New Roman"/>
                <w:color w:val="000000" w:themeColor="text1"/>
                <w:sz w:val="21"/>
                <w:szCs w:val="21"/>
                <w:highlight w:val="none"/>
                <w:lang w:eastAsia="zh-CN"/>
              </w:rPr>
              <w:t>0.0001</w:t>
            </w:r>
          </w:p>
        </w:tc>
      </w:tr>
    </w:tbl>
    <w:p w14:paraId="552904AE">
      <w:pPr>
        <w:spacing w:line="400" w:lineRule="exact"/>
        <w:jc w:val="left"/>
        <w:rPr>
          <w:rStyle w:val="31"/>
          <w:rFonts w:hint="default" w:asciiTheme="minorEastAsia" w:hAnsiTheme="minorEastAsia" w:eastAsiaTheme="minorEastAsia"/>
          <w:color w:val="000000" w:themeColor="text1"/>
          <w:sz w:val="21"/>
          <w:szCs w:val="21"/>
          <w:highlight w:val="none"/>
        </w:rPr>
      </w:pPr>
      <w:r>
        <w:rPr>
          <w:rStyle w:val="31"/>
          <w:rFonts w:hint="default" w:asciiTheme="minorEastAsia" w:hAnsiTheme="minorEastAsia" w:eastAsiaTheme="minorEastAsia"/>
          <w:color w:val="000000" w:themeColor="text1"/>
          <w:sz w:val="21"/>
          <w:szCs w:val="21"/>
          <w:highlight w:val="none"/>
        </w:rPr>
        <w:t>指标说明：</w:t>
      </w:r>
    </w:p>
    <w:p w14:paraId="21A55CDB">
      <w:pPr>
        <w:spacing w:line="400" w:lineRule="exact"/>
        <w:jc w:val="left"/>
        <w:rPr>
          <w:rStyle w:val="31"/>
          <w:rFonts w:hint="default" w:asciiTheme="minorEastAsia" w:hAnsiTheme="minorEastAsia" w:eastAsiaTheme="minorEastAsia"/>
          <w:color w:val="000000" w:themeColor="text1"/>
          <w:sz w:val="21"/>
          <w:szCs w:val="21"/>
          <w:highlight w:val="none"/>
        </w:rPr>
      </w:pPr>
      <w:r>
        <w:rPr>
          <w:rStyle w:val="31"/>
          <w:rFonts w:hint="default" w:asciiTheme="minorEastAsia" w:hAnsiTheme="minorEastAsia" w:eastAsiaTheme="minorEastAsia"/>
          <w:color w:val="000000" w:themeColor="text1"/>
          <w:sz w:val="21"/>
          <w:szCs w:val="21"/>
          <w:highlight w:val="none"/>
        </w:rPr>
        <w:t>1）气候变化（GWP）：生产1吨</w:t>
      </w:r>
      <w:r>
        <w:rPr>
          <w:rFonts w:hint="eastAsia" w:cs="宋体" w:asciiTheme="minorEastAsia" w:hAnsiTheme="minorEastAsia"/>
          <w:color w:val="000000"/>
          <w:kern w:val="0"/>
          <w:sz w:val="24"/>
          <w:szCs w:val="24"/>
          <w:highlight w:val="none"/>
        </w:rPr>
        <w:t>AC4C</w:t>
      </w:r>
      <w:r>
        <w:rPr>
          <w:rStyle w:val="31"/>
          <w:rFonts w:hint="default" w:asciiTheme="minorEastAsia" w:hAnsiTheme="minorEastAsia" w:eastAsiaTheme="minorEastAsia"/>
          <w:color w:val="000000" w:themeColor="text1"/>
          <w:sz w:val="21"/>
          <w:szCs w:val="21"/>
          <w:highlight w:val="none"/>
        </w:rPr>
        <w:t>铝合金产品排放的二氧化碳当量；</w:t>
      </w:r>
    </w:p>
    <w:p w14:paraId="5FE808A3">
      <w:pPr>
        <w:spacing w:line="400" w:lineRule="exact"/>
        <w:jc w:val="left"/>
        <w:rPr>
          <w:rStyle w:val="31"/>
          <w:rFonts w:hint="default" w:asciiTheme="minorEastAsia" w:hAnsiTheme="minorEastAsia" w:eastAsiaTheme="minorEastAsia"/>
          <w:color w:val="000000" w:themeColor="text1"/>
          <w:sz w:val="21"/>
          <w:szCs w:val="21"/>
          <w:highlight w:val="none"/>
        </w:rPr>
      </w:pPr>
      <w:r>
        <w:rPr>
          <w:rStyle w:val="31"/>
          <w:rFonts w:hint="default" w:asciiTheme="minorEastAsia" w:hAnsiTheme="minorEastAsia" w:eastAsiaTheme="minorEastAsia"/>
          <w:color w:val="000000" w:themeColor="text1"/>
          <w:sz w:val="21"/>
          <w:szCs w:val="21"/>
          <w:highlight w:val="none"/>
        </w:rPr>
        <w:t>2）初级能源消耗（PED）（天然气）：生产1吨</w:t>
      </w:r>
      <w:r>
        <w:rPr>
          <w:rFonts w:hint="eastAsia" w:cs="宋体" w:asciiTheme="minorEastAsia" w:hAnsiTheme="minorEastAsia"/>
          <w:color w:val="000000"/>
          <w:kern w:val="0"/>
          <w:sz w:val="24"/>
          <w:szCs w:val="24"/>
          <w:highlight w:val="none"/>
        </w:rPr>
        <w:t>AC4C</w:t>
      </w:r>
      <w:r>
        <w:rPr>
          <w:rStyle w:val="31"/>
          <w:rFonts w:hint="default" w:asciiTheme="minorEastAsia" w:hAnsiTheme="minorEastAsia" w:eastAsiaTheme="minorEastAsia"/>
          <w:color w:val="000000" w:themeColor="text1"/>
          <w:sz w:val="21"/>
          <w:szCs w:val="21"/>
          <w:highlight w:val="none"/>
        </w:rPr>
        <w:t>铝合金产品消耗的一次能源的量X天然气的热值38.931（MJ/NM</w:t>
      </w:r>
      <w:r>
        <w:rPr>
          <w:rStyle w:val="31"/>
          <w:rFonts w:hint="default" w:asciiTheme="minorEastAsia" w:hAnsiTheme="minorEastAsia" w:eastAsiaTheme="minorEastAsia"/>
          <w:color w:val="000000" w:themeColor="text1"/>
          <w:sz w:val="21"/>
          <w:szCs w:val="21"/>
          <w:highlight w:val="none"/>
          <w:vertAlign w:val="superscript"/>
        </w:rPr>
        <w:t>3</w:t>
      </w:r>
      <w:r>
        <w:rPr>
          <w:rStyle w:val="31"/>
          <w:rFonts w:hint="default" w:asciiTheme="minorEastAsia" w:hAnsiTheme="minorEastAsia" w:eastAsiaTheme="minorEastAsia"/>
          <w:color w:val="000000" w:themeColor="text1"/>
          <w:sz w:val="21"/>
          <w:szCs w:val="21"/>
          <w:highlight w:val="none"/>
        </w:rPr>
        <w:t>）。</w:t>
      </w:r>
    </w:p>
    <w:p w14:paraId="63A02F34">
      <w:pPr>
        <w:spacing w:line="400" w:lineRule="exact"/>
        <w:jc w:val="left"/>
        <w:rPr>
          <w:rStyle w:val="31"/>
          <w:rFonts w:hint="default" w:asciiTheme="minorEastAsia" w:hAnsiTheme="minorEastAsia" w:eastAsiaTheme="minorEastAsia"/>
          <w:color w:val="000000" w:themeColor="text1"/>
          <w:sz w:val="21"/>
          <w:szCs w:val="21"/>
          <w:highlight w:val="none"/>
        </w:rPr>
      </w:pPr>
      <w:r>
        <w:rPr>
          <w:rStyle w:val="31"/>
          <w:rFonts w:hint="default" w:asciiTheme="minorEastAsia" w:hAnsiTheme="minorEastAsia" w:eastAsiaTheme="minorEastAsia"/>
          <w:color w:val="000000" w:themeColor="text1"/>
          <w:sz w:val="21"/>
          <w:szCs w:val="21"/>
          <w:highlight w:val="none"/>
        </w:rPr>
        <w:t xml:space="preserve"> 3）水资源消耗（WU）：生产1吨</w:t>
      </w:r>
      <w:r>
        <w:rPr>
          <w:rFonts w:hint="eastAsia" w:cs="宋体" w:asciiTheme="minorEastAsia" w:hAnsiTheme="minorEastAsia"/>
          <w:color w:val="000000"/>
          <w:kern w:val="0"/>
          <w:sz w:val="24"/>
          <w:szCs w:val="24"/>
          <w:highlight w:val="none"/>
        </w:rPr>
        <w:t>AC4C</w:t>
      </w:r>
      <w:r>
        <w:rPr>
          <w:rStyle w:val="31"/>
          <w:rFonts w:hint="default" w:asciiTheme="minorEastAsia" w:hAnsiTheme="minorEastAsia" w:eastAsiaTheme="minorEastAsia"/>
          <w:color w:val="000000" w:themeColor="text1"/>
          <w:sz w:val="21"/>
          <w:szCs w:val="21"/>
          <w:highlight w:val="none"/>
        </w:rPr>
        <w:t>铝合金产品消耗的水资源；</w:t>
      </w:r>
    </w:p>
    <w:p w14:paraId="133FBD81">
      <w:pPr>
        <w:pStyle w:val="17"/>
        <w:numPr>
          <w:ilvl w:val="0"/>
          <w:numId w:val="3"/>
        </w:numPr>
        <w:spacing w:line="400" w:lineRule="exact"/>
        <w:ind w:left="0" w:firstLine="0" w:firstLineChars="0"/>
        <w:jc w:val="left"/>
        <w:rPr>
          <w:rStyle w:val="31"/>
          <w:rFonts w:hint="default" w:asciiTheme="minorEastAsia" w:hAnsiTheme="minorEastAsia" w:eastAsiaTheme="minorEastAsia"/>
          <w:color w:val="000000" w:themeColor="text1"/>
          <w:sz w:val="21"/>
          <w:szCs w:val="21"/>
          <w:highlight w:val="none"/>
        </w:rPr>
      </w:pPr>
      <w:r>
        <w:rPr>
          <w:rStyle w:val="31"/>
          <w:rFonts w:hint="default" w:asciiTheme="minorEastAsia" w:hAnsiTheme="minorEastAsia" w:eastAsiaTheme="minorEastAsia"/>
          <w:color w:val="000000" w:themeColor="text1"/>
          <w:sz w:val="21"/>
          <w:szCs w:val="21"/>
          <w:highlight w:val="none"/>
        </w:rPr>
        <w:t>酸化（AP）：生产1吨</w:t>
      </w:r>
      <w:r>
        <w:rPr>
          <w:rFonts w:hint="eastAsia" w:cs="宋体" w:asciiTheme="minorEastAsia" w:hAnsiTheme="minorEastAsia"/>
          <w:color w:val="000000"/>
          <w:kern w:val="0"/>
          <w:sz w:val="24"/>
          <w:szCs w:val="24"/>
          <w:highlight w:val="none"/>
        </w:rPr>
        <w:t>AC4C</w:t>
      </w:r>
      <w:r>
        <w:rPr>
          <w:rStyle w:val="31"/>
          <w:rFonts w:hint="default" w:asciiTheme="minorEastAsia" w:hAnsiTheme="minorEastAsia" w:eastAsiaTheme="minorEastAsia"/>
          <w:color w:val="000000" w:themeColor="text1"/>
          <w:sz w:val="21"/>
          <w:szCs w:val="21"/>
          <w:highlight w:val="none"/>
        </w:rPr>
        <w:t>铝合金产品排放的二氧化硫当量，（二氧化硫污染当量数=二氧化硫排放量/二氧化硫污染污染当量值（0.95））</w:t>
      </w:r>
    </w:p>
    <w:p w14:paraId="0F55A8A7">
      <w:pPr>
        <w:spacing w:line="400" w:lineRule="exact"/>
        <w:jc w:val="left"/>
        <w:rPr>
          <w:rStyle w:val="31"/>
          <w:rFonts w:hint="default" w:asciiTheme="minorEastAsia" w:hAnsiTheme="minorEastAsia" w:eastAsiaTheme="minorEastAsia"/>
          <w:color w:val="000000" w:themeColor="text1"/>
          <w:sz w:val="21"/>
          <w:szCs w:val="21"/>
          <w:highlight w:val="none"/>
        </w:rPr>
      </w:pPr>
      <w:r>
        <w:rPr>
          <w:rStyle w:val="31"/>
          <w:rFonts w:hint="default" w:asciiTheme="minorEastAsia" w:hAnsiTheme="minorEastAsia" w:eastAsiaTheme="minorEastAsia"/>
          <w:color w:val="000000" w:themeColor="text1"/>
          <w:sz w:val="21"/>
          <w:szCs w:val="21"/>
          <w:highlight w:val="none"/>
        </w:rPr>
        <w:t>5）颗粒物（PM）：生产1吨</w:t>
      </w:r>
      <w:r>
        <w:rPr>
          <w:rFonts w:hint="eastAsia" w:cs="宋体" w:asciiTheme="minorEastAsia" w:hAnsiTheme="minorEastAsia"/>
          <w:color w:val="000000"/>
          <w:kern w:val="0"/>
          <w:sz w:val="24"/>
          <w:szCs w:val="24"/>
          <w:highlight w:val="none"/>
        </w:rPr>
        <w:t>AC4C</w:t>
      </w:r>
      <w:r>
        <w:rPr>
          <w:rStyle w:val="31"/>
          <w:rFonts w:hint="default" w:asciiTheme="minorEastAsia" w:hAnsiTheme="minorEastAsia" w:eastAsiaTheme="minorEastAsia"/>
          <w:color w:val="000000" w:themeColor="text1"/>
          <w:sz w:val="21"/>
          <w:szCs w:val="21"/>
          <w:highlight w:val="none"/>
        </w:rPr>
        <w:t>铝合金产品排放的PM2.5当量；</w:t>
      </w:r>
    </w:p>
    <w:p w14:paraId="6433B747">
      <w:pPr>
        <w:spacing w:line="400" w:lineRule="exact"/>
        <w:jc w:val="left"/>
        <w:rPr>
          <w:rStyle w:val="31"/>
          <w:rFonts w:hint="default" w:asciiTheme="minorEastAsia" w:hAnsiTheme="minorEastAsia" w:eastAsiaTheme="minorEastAsia"/>
          <w:color w:val="000000" w:themeColor="text1"/>
          <w:sz w:val="21"/>
          <w:szCs w:val="21"/>
          <w:highlight w:val="none"/>
        </w:rPr>
      </w:pPr>
      <w:bookmarkStart w:id="9" w:name="_Toc25883"/>
      <w:r>
        <w:rPr>
          <w:rStyle w:val="31"/>
          <w:rFonts w:hint="default" w:asciiTheme="minorEastAsia" w:hAnsiTheme="minorEastAsia" w:eastAsiaTheme="minorEastAsia"/>
          <w:color w:val="000000" w:themeColor="text1"/>
          <w:sz w:val="21"/>
          <w:szCs w:val="21"/>
          <w:highlight w:val="none"/>
        </w:rPr>
        <w:t>4、LCA结果分析</w:t>
      </w:r>
      <w:bookmarkEnd w:id="9"/>
      <w:bookmarkStart w:id="10" w:name="_Toc28265"/>
    </w:p>
    <w:p w14:paraId="2F0B09DE">
      <w:pPr>
        <w:spacing w:line="400" w:lineRule="exact"/>
        <w:ind w:firstLine="105" w:firstLineChars="50"/>
        <w:jc w:val="left"/>
        <w:rPr>
          <w:rStyle w:val="31"/>
          <w:rFonts w:hint="default" w:asciiTheme="minorEastAsia" w:hAnsiTheme="minorEastAsia" w:eastAsiaTheme="minorEastAsia"/>
          <w:color w:val="000000" w:themeColor="text1"/>
          <w:sz w:val="21"/>
          <w:szCs w:val="21"/>
        </w:rPr>
      </w:pPr>
      <w:r>
        <w:rPr>
          <w:rStyle w:val="31"/>
          <w:rFonts w:hint="default" w:asciiTheme="minorEastAsia" w:hAnsiTheme="minorEastAsia" w:eastAsiaTheme="minorEastAsia"/>
          <w:color w:val="000000" w:themeColor="text1"/>
          <w:sz w:val="21"/>
          <w:szCs w:val="21"/>
        </w:rPr>
        <w:t>4.1贡献分析</w:t>
      </w:r>
      <w:bookmarkEnd w:id="10"/>
    </w:p>
    <w:p w14:paraId="558652C7">
      <w:pPr>
        <w:pStyle w:val="5"/>
        <w:spacing w:after="0" w:line="400" w:lineRule="exact"/>
        <w:jc w:val="left"/>
        <w:rPr>
          <w:snapToGrid w:val="0"/>
          <w:kern w:val="0"/>
          <w:sz w:val="24"/>
          <w:highlight w:val="none"/>
        </w:rPr>
      </w:pPr>
      <w:r>
        <w:rPr>
          <w:rStyle w:val="31"/>
          <w:rFonts w:hint="default" w:asciiTheme="minorEastAsia" w:hAnsiTheme="minorEastAsia" w:eastAsiaTheme="minorEastAsia"/>
          <w:color w:val="000000" w:themeColor="text1"/>
          <w:sz w:val="21"/>
          <w:szCs w:val="21"/>
          <w:highlight w:val="none"/>
        </w:rPr>
        <w:t>根据本研究系统边界的定义，生产1吨</w:t>
      </w:r>
      <w:r>
        <w:rPr>
          <w:rFonts w:hint="eastAsia" w:cs="宋体" w:asciiTheme="minorEastAsia" w:hAnsiTheme="minorEastAsia"/>
          <w:color w:val="000000"/>
          <w:kern w:val="0"/>
          <w:sz w:val="24"/>
          <w:highlight w:val="none"/>
        </w:rPr>
        <w:t>AC4C</w:t>
      </w:r>
      <w:r>
        <w:rPr>
          <w:rStyle w:val="31"/>
          <w:rFonts w:hint="default" w:asciiTheme="minorEastAsia" w:hAnsiTheme="minorEastAsia" w:eastAsiaTheme="minorEastAsia"/>
          <w:color w:val="000000" w:themeColor="text1"/>
          <w:sz w:val="21"/>
          <w:szCs w:val="21"/>
          <w:highlight w:val="none"/>
        </w:rPr>
        <w:t>铝合金产品生命周期各过程LCA结果见表5。</w:t>
      </w:r>
    </w:p>
    <w:p w14:paraId="1D2280ED">
      <w:pPr>
        <w:spacing w:before="156" w:beforeLines="50" w:line="360" w:lineRule="auto"/>
        <w:ind w:firstLine="600" w:firstLineChars="250"/>
        <w:jc w:val="center"/>
        <w:rPr>
          <w:rFonts w:ascii="Times New Roman" w:hAnsi="Times New Roman" w:eastAsia="宋体" w:cs="Times New Roman"/>
          <w:snapToGrid w:val="0"/>
          <w:kern w:val="0"/>
          <w:sz w:val="24"/>
          <w:szCs w:val="24"/>
          <w:highlight w:val="none"/>
        </w:rPr>
      </w:pPr>
      <w:r>
        <w:rPr>
          <w:rFonts w:ascii="Times New Roman" w:hAnsi="Times New Roman" w:eastAsia="宋体" w:cs="Times New Roman"/>
          <w:snapToGrid w:val="0"/>
          <w:kern w:val="0"/>
          <w:sz w:val="24"/>
          <w:szCs w:val="24"/>
          <w:highlight w:val="none"/>
        </w:rPr>
        <w:t>表</w:t>
      </w:r>
      <w:r>
        <w:rPr>
          <w:rFonts w:hint="eastAsia" w:ascii="Times New Roman" w:hAnsi="Times New Roman" w:eastAsia="宋体" w:cs="Times New Roman"/>
          <w:snapToGrid w:val="0"/>
          <w:kern w:val="0"/>
          <w:sz w:val="24"/>
          <w:szCs w:val="24"/>
          <w:highlight w:val="none"/>
        </w:rPr>
        <w:t xml:space="preserve">5 </w:t>
      </w:r>
      <w:r>
        <w:rPr>
          <w:rFonts w:hint="eastAsia" w:ascii="Times New Roman" w:hAnsi="Times New Roman" w:eastAsia="黑体" w:cs="Times New Roman"/>
          <w:szCs w:val="21"/>
          <w:highlight w:val="none"/>
        </w:rPr>
        <w:t xml:space="preserve"> </w:t>
      </w:r>
      <w:r>
        <w:rPr>
          <w:rFonts w:ascii="Times New Roman" w:hAnsi="Times New Roman" w:eastAsia="宋体" w:cs="Times New Roman"/>
          <w:snapToGrid w:val="0"/>
          <w:kern w:val="0"/>
          <w:sz w:val="24"/>
          <w:szCs w:val="24"/>
          <w:highlight w:val="none"/>
        </w:rPr>
        <w:t>1</w:t>
      </w:r>
      <w:r>
        <w:rPr>
          <w:rFonts w:hint="eastAsia" w:ascii="Times New Roman" w:hAnsi="Times New Roman" w:eastAsia="宋体" w:cs="Times New Roman"/>
          <w:snapToGrid w:val="0"/>
          <w:kern w:val="0"/>
          <w:sz w:val="24"/>
          <w:szCs w:val="24"/>
          <w:highlight w:val="none"/>
        </w:rPr>
        <w:t>吨</w:t>
      </w:r>
      <w:r>
        <w:rPr>
          <w:rFonts w:hint="eastAsia" w:cs="宋体" w:asciiTheme="minorEastAsia" w:hAnsiTheme="minorEastAsia"/>
          <w:color w:val="000000"/>
          <w:kern w:val="0"/>
          <w:sz w:val="24"/>
          <w:szCs w:val="24"/>
          <w:highlight w:val="none"/>
        </w:rPr>
        <w:t>AC4C</w:t>
      </w:r>
      <w:r>
        <w:rPr>
          <w:rFonts w:ascii="Times New Roman" w:hAnsi="Times New Roman" w:eastAsia="宋体" w:cs="Times New Roman"/>
          <w:snapToGrid w:val="0"/>
          <w:kern w:val="0"/>
          <w:sz w:val="24"/>
          <w:szCs w:val="24"/>
          <w:highlight w:val="none"/>
        </w:rPr>
        <w:t>铝合金</w:t>
      </w:r>
      <w:r>
        <w:rPr>
          <w:rFonts w:hint="eastAsia" w:ascii="Times New Roman" w:hAnsi="Times New Roman" w:eastAsia="宋体" w:cs="Times New Roman"/>
          <w:snapToGrid w:val="0"/>
          <w:kern w:val="0"/>
          <w:sz w:val="24"/>
          <w:szCs w:val="24"/>
          <w:highlight w:val="none"/>
        </w:rPr>
        <w:t>产品</w:t>
      </w:r>
      <w:r>
        <w:rPr>
          <w:rFonts w:ascii="Times New Roman" w:hAnsi="Times New Roman" w:eastAsia="宋体" w:cs="Times New Roman"/>
          <w:snapToGrid w:val="0"/>
          <w:kern w:val="0"/>
          <w:sz w:val="24"/>
          <w:szCs w:val="24"/>
          <w:highlight w:val="none"/>
        </w:rPr>
        <w:t>生命周期各过程GWP和PED指标结果</w:t>
      </w:r>
    </w:p>
    <w:tbl>
      <w:tblPr>
        <w:tblStyle w:val="10"/>
        <w:tblW w:w="837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6"/>
        <w:gridCol w:w="2268"/>
        <w:gridCol w:w="997"/>
        <w:gridCol w:w="1760"/>
        <w:gridCol w:w="14"/>
        <w:gridCol w:w="948"/>
        <w:gridCol w:w="14"/>
      </w:tblGrid>
      <w:tr w14:paraId="06B79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79" w:hRule="atLeast"/>
        </w:trPr>
        <w:tc>
          <w:tcPr>
            <w:tcW w:w="2376" w:type="dxa"/>
            <w:vMerge w:val="restart"/>
            <w:shd w:val="clear" w:color="auto" w:fill="auto"/>
            <w:noWrap/>
            <w:vAlign w:val="center"/>
          </w:tcPr>
          <w:p w14:paraId="4FB8B566">
            <w:pPr>
              <w:pStyle w:val="22"/>
              <w:spacing w:line="0" w:lineRule="atLeast"/>
              <w:ind w:left="113"/>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过程名称</w:t>
            </w:r>
          </w:p>
        </w:tc>
        <w:tc>
          <w:tcPr>
            <w:tcW w:w="3265" w:type="dxa"/>
            <w:gridSpan w:val="2"/>
            <w:shd w:val="clear" w:color="auto" w:fill="auto"/>
            <w:noWrap/>
            <w:vAlign w:val="center"/>
          </w:tcPr>
          <w:p w14:paraId="7C13F7D2">
            <w:pPr>
              <w:pStyle w:val="22"/>
              <w:spacing w:line="0" w:lineRule="atLeast"/>
              <w:ind w:left="113"/>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GWP</w:t>
            </w:r>
          </w:p>
        </w:tc>
        <w:tc>
          <w:tcPr>
            <w:tcW w:w="2722" w:type="dxa"/>
            <w:gridSpan w:val="3"/>
            <w:shd w:val="clear" w:color="auto" w:fill="auto"/>
            <w:noWrap/>
            <w:vAlign w:val="center"/>
          </w:tcPr>
          <w:p w14:paraId="25173777">
            <w:pPr>
              <w:pStyle w:val="22"/>
              <w:spacing w:line="0" w:lineRule="atLeast"/>
              <w:ind w:left="113"/>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PED</w:t>
            </w:r>
          </w:p>
        </w:tc>
      </w:tr>
      <w:tr w14:paraId="04FA1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79" w:hRule="atLeast"/>
        </w:trPr>
        <w:tc>
          <w:tcPr>
            <w:tcW w:w="2376" w:type="dxa"/>
            <w:vMerge w:val="continue"/>
            <w:vAlign w:val="center"/>
          </w:tcPr>
          <w:p w14:paraId="4BA5ED02">
            <w:pPr>
              <w:widowControl/>
              <w:spacing w:before="156" w:beforeLines="50" w:line="360" w:lineRule="auto"/>
              <w:jc w:val="center"/>
              <w:rPr>
                <w:rFonts w:ascii="Times New Roman" w:hAnsi="Times New Roman" w:eastAsia="宋体" w:cs="Times New Roman"/>
                <w:kern w:val="0"/>
                <w:szCs w:val="21"/>
                <w:highlight w:val="none"/>
              </w:rPr>
            </w:pPr>
          </w:p>
        </w:tc>
        <w:tc>
          <w:tcPr>
            <w:tcW w:w="2268" w:type="dxa"/>
            <w:shd w:val="clear" w:color="auto" w:fill="auto"/>
            <w:noWrap/>
            <w:vAlign w:val="center"/>
          </w:tcPr>
          <w:p w14:paraId="378247CF">
            <w:pPr>
              <w:pStyle w:val="22"/>
              <w:spacing w:line="0" w:lineRule="atLeast"/>
              <w:ind w:left="113"/>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指标值 (kg CO2 eq.)</w:t>
            </w:r>
          </w:p>
        </w:tc>
        <w:tc>
          <w:tcPr>
            <w:tcW w:w="997" w:type="dxa"/>
            <w:shd w:val="clear" w:color="auto" w:fill="auto"/>
            <w:noWrap/>
            <w:vAlign w:val="center"/>
          </w:tcPr>
          <w:p w14:paraId="1C09A120">
            <w:pPr>
              <w:pStyle w:val="22"/>
              <w:spacing w:line="0" w:lineRule="atLeast"/>
              <w:ind w:left="113"/>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占比</w:t>
            </w:r>
          </w:p>
        </w:tc>
        <w:tc>
          <w:tcPr>
            <w:tcW w:w="1760" w:type="dxa"/>
            <w:shd w:val="clear" w:color="auto" w:fill="auto"/>
            <w:noWrap/>
            <w:vAlign w:val="center"/>
          </w:tcPr>
          <w:p w14:paraId="387702B2">
            <w:pPr>
              <w:pStyle w:val="22"/>
              <w:spacing w:line="0" w:lineRule="atLeast"/>
              <w:ind w:left="113"/>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指标值 (MJ)</w:t>
            </w:r>
          </w:p>
        </w:tc>
        <w:tc>
          <w:tcPr>
            <w:tcW w:w="962" w:type="dxa"/>
            <w:gridSpan w:val="2"/>
            <w:shd w:val="clear" w:color="auto" w:fill="auto"/>
            <w:noWrap/>
            <w:vAlign w:val="center"/>
          </w:tcPr>
          <w:p w14:paraId="48AF37BC">
            <w:pPr>
              <w:pStyle w:val="22"/>
              <w:spacing w:line="0" w:lineRule="atLeast"/>
              <w:ind w:left="113"/>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占比</w:t>
            </w:r>
          </w:p>
        </w:tc>
      </w:tr>
      <w:tr w14:paraId="008E3E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79" w:hRule="atLeast"/>
        </w:trPr>
        <w:tc>
          <w:tcPr>
            <w:tcW w:w="2376" w:type="dxa"/>
            <w:shd w:val="clear" w:color="auto" w:fill="auto"/>
            <w:noWrap/>
            <w:vAlign w:val="center"/>
          </w:tcPr>
          <w:p w14:paraId="091E09F4">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原材料获取</w:t>
            </w:r>
          </w:p>
        </w:tc>
        <w:tc>
          <w:tcPr>
            <w:tcW w:w="2268" w:type="dxa"/>
            <w:shd w:val="clear" w:color="auto" w:fill="auto"/>
            <w:noWrap/>
            <w:vAlign w:val="bottom"/>
          </w:tcPr>
          <w:p w14:paraId="60709E65">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1.54E+01</w:t>
            </w:r>
          </w:p>
        </w:tc>
        <w:tc>
          <w:tcPr>
            <w:tcW w:w="997" w:type="dxa"/>
            <w:shd w:val="clear" w:color="auto" w:fill="auto"/>
            <w:noWrap/>
            <w:vAlign w:val="center"/>
          </w:tcPr>
          <w:p w14:paraId="5B7970D7">
            <w:pPr>
              <w:pStyle w:val="22"/>
              <w:spacing w:line="0" w:lineRule="atLeast"/>
              <w:ind w:left="113"/>
              <w:jc w:val="center"/>
              <w:rPr>
                <w:rFonts w:hint="eastAsia" w:asciiTheme="minorEastAsia" w:hAnsiTheme="minorEastAsia" w:eastAsiaTheme="minorEastAsia" w:cstheme="minorEastAsia"/>
                <w:color w:val="auto"/>
                <w:sz w:val="20"/>
                <w:szCs w:val="20"/>
                <w:highlight w:val="none"/>
              </w:rPr>
            </w:pPr>
            <w:r>
              <w:rPr>
                <w:rFonts w:hint="eastAsia" w:asciiTheme="minorEastAsia" w:hAnsiTheme="minorEastAsia" w:eastAsiaTheme="minorEastAsia" w:cstheme="minorEastAsia"/>
                <w:color w:val="auto"/>
                <w:sz w:val="20"/>
                <w:szCs w:val="20"/>
                <w:highlight w:val="none"/>
                <w:lang w:eastAsia="zh-CN"/>
              </w:rPr>
              <w:t>98.20%</w:t>
            </w:r>
          </w:p>
        </w:tc>
        <w:tc>
          <w:tcPr>
            <w:tcW w:w="1760" w:type="dxa"/>
            <w:shd w:val="clear" w:color="auto" w:fill="auto"/>
            <w:noWrap/>
            <w:vAlign w:val="center"/>
          </w:tcPr>
          <w:p w14:paraId="5CEAD460">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c>
          <w:tcPr>
            <w:tcW w:w="962" w:type="dxa"/>
            <w:gridSpan w:val="2"/>
            <w:shd w:val="clear" w:color="auto" w:fill="auto"/>
            <w:noWrap/>
            <w:vAlign w:val="center"/>
          </w:tcPr>
          <w:p w14:paraId="37E252C6">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r>
      <w:tr w14:paraId="14EE4F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79" w:hRule="atLeast"/>
        </w:trPr>
        <w:tc>
          <w:tcPr>
            <w:tcW w:w="2376" w:type="dxa"/>
            <w:shd w:val="clear" w:color="auto" w:fill="auto"/>
            <w:noWrap/>
            <w:vAlign w:val="center"/>
          </w:tcPr>
          <w:p w14:paraId="6C132734">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原料运输</w:t>
            </w:r>
          </w:p>
        </w:tc>
        <w:tc>
          <w:tcPr>
            <w:tcW w:w="2268" w:type="dxa"/>
            <w:shd w:val="clear" w:color="auto" w:fill="auto"/>
            <w:noWrap/>
            <w:vAlign w:val="bottom"/>
          </w:tcPr>
          <w:p w14:paraId="35D3F80B">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3.99E-02</w:t>
            </w:r>
          </w:p>
        </w:tc>
        <w:tc>
          <w:tcPr>
            <w:tcW w:w="997" w:type="dxa"/>
            <w:shd w:val="clear" w:color="auto" w:fill="auto"/>
            <w:noWrap/>
            <w:vAlign w:val="bottom"/>
          </w:tcPr>
          <w:p w14:paraId="1FDF90A5">
            <w:pPr>
              <w:keepNext w:val="0"/>
              <w:keepLines w:val="0"/>
              <w:widowControl/>
              <w:suppressLineNumbers w:val="0"/>
              <w:jc w:val="right"/>
              <w:textAlignment w:val="bottom"/>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0.25%</w:t>
            </w:r>
          </w:p>
        </w:tc>
        <w:tc>
          <w:tcPr>
            <w:tcW w:w="1760" w:type="dxa"/>
            <w:shd w:val="clear" w:color="auto" w:fill="auto"/>
            <w:noWrap/>
            <w:vAlign w:val="center"/>
          </w:tcPr>
          <w:p w14:paraId="5EBCCAD4">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c>
          <w:tcPr>
            <w:tcW w:w="962" w:type="dxa"/>
            <w:gridSpan w:val="2"/>
            <w:shd w:val="clear" w:color="auto" w:fill="auto"/>
            <w:noWrap/>
            <w:vAlign w:val="center"/>
          </w:tcPr>
          <w:p w14:paraId="0BBE0C66">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r>
      <w:tr w14:paraId="08FE44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79" w:hRule="atLeast"/>
        </w:trPr>
        <w:tc>
          <w:tcPr>
            <w:tcW w:w="2376" w:type="dxa"/>
            <w:shd w:val="clear" w:color="auto" w:fill="auto"/>
            <w:noWrap/>
            <w:vAlign w:val="center"/>
          </w:tcPr>
          <w:p w14:paraId="15659AFD">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heme="minorEastAsia" w:hAnsiTheme="minorEastAsia"/>
                <w:sz w:val="24"/>
                <w:szCs w:val="24"/>
                <w:highlight w:val="none"/>
                <w:lang w:eastAsia="zh-CN"/>
              </w:rPr>
              <w:t>AC4C</w:t>
            </w:r>
            <w:r>
              <w:rPr>
                <w:rFonts w:hint="eastAsia" w:ascii="Times New Roman" w:hAnsi="Times New Roman" w:cs="Times New Roman"/>
                <w:color w:val="auto"/>
                <w:sz w:val="21"/>
                <w:szCs w:val="21"/>
                <w:highlight w:val="none"/>
                <w:lang w:eastAsia="zh-CN"/>
              </w:rPr>
              <w:t>铝合金产品生产</w:t>
            </w:r>
          </w:p>
        </w:tc>
        <w:tc>
          <w:tcPr>
            <w:tcW w:w="2268" w:type="dxa"/>
            <w:shd w:val="clear" w:color="auto" w:fill="auto"/>
            <w:noWrap/>
            <w:vAlign w:val="bottom"/>
          </w:tcPr>
          <w:p w14:paraId="75F7971A">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2.43E-01</w:t>
            </w:r>
          </w:p>
        </w:tc>
        <w:tc>
          <w:tcPr>
            <w:tcW w:w="997" w:type="dxa"/>
            <w:shd w:val="clear" w:color="auto" w:fill="auto"/>
            <w:noWrap/>
            <w:vAlign w:val="bottom"/>
          </w:tcPr>
          <w:p w14:paraId="366CAD51">
            <w:pPr>
              <w:keepNext w:val="0"/>
              <w:keepLines w:val="0"/>
              <w:widowControl/>
              <w:suppressLineNumbers w:val="0"/>
              <w:jc w:val="right"/>
              <w:textAlignment w:val="bottom"/>
              <w:rPr>
                <w:rFonts w:hint="eastAsia" w:asciiTheme="minorEastAsia" w:hAnsiTheme="minorEastAsia" w:eastAsiaTheme="minorEastAsia" w:cstheme="minorEastAsia"/>
                <w:i w:val="0"/>
                <w:iCs w:val="0"/>
                <w:color w:val="000000"/>
                <w:kern w:val="2"/>
                <w:sz w:val="20"/>
                <w:szCs w:val="20"/>
                <w:u w:val="none"/>
                <w:lang w:val="en-US" w:eastAsia="zh-CN" w:bidi="ar-SA"/>
              </w:rPr>
            </w:pPr>
            <w:r>
              <w:rPr>
                <w:rFonts w:hint="eastAsia" w:asciiTheme="minorEastAsia" w:hAnsiTheme="minorEastAsia" w:eastAsiaTheme="minorEastAsia" w:cstheme="minorEastAsia"/>
                <w:i w:val="0"/>
                <w:iCs w:val="0"/>
                <w:color w:val="000000"/>
                <w:kern w:val="0"/>
                <w:sz w:val="20"/>
                <w:szCs w:val="20"/>
                <w:u w:val="none"/>
                <w:lang w:val="en-US" w:eastAsia="zh-CN" w:bidi="ar"/>
              </w:rPr>
              <w:t>1.55%</w:t>
            </w:r>
          </w:p>
        </w:tc>
        <w:tc>
          <w:tcPr>
            <w:tcW w:w="1760" w:type="dxa"/>
            <w:shd w:val="clear" w:color="auto" w:fill="auto"/>
            <w:noWrap/>
            <w:vAlign w:val="center"/>
          </w:tcPr>
          <w:p w14:paraId="0241D36C">
            <w:pPr>
              <w:pStyle w:val="22"/>
              <w:spacing w:line="0" w:lineRule="atLeast"/>
              <w:ind w:left="113"/>
              <w:jc w:val="center"/>
              <w:rPr>
                <w:rFonts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3275</w:t>
            </w:r>
          </w:p>
        </w:tc>
        <w:tc>
          <w:tcPr>
            <w:tcW w:w="962" w:type="dxa"/>
            <w:gridSpan w:val="2"/>
            <w:shd w:val="clear" w:color="auto" w:fill="auto"/>
            <w:noWrap/>
            <w:vAlign w:val="center"/>
          </w:tcPr>
          <w:p w14:paraId="3258854A">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100%</w:t>
            </w:r>
          </w:p>
        </w:tc>
      </w:tr>
      <w:tr w14:paraId="475C18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79" w:hRule="atLeast"/>
        </w:trPr>
        <w:tc>
          <w:tcPr>
            <w:tcW w:w="8363" w:type="dxa"/>
            <w:gridSpan w:val="6"/>
            <w:shd w:val="clear" w:color="auto" w:fill="auto"/>
            <w:noWrap/>
            <w:vAlign w:val="center"/>
          </w:tcPr>
          <w:p w14:paraId="1D93BA3B">
            <w:pPr>
              <w:pStyle w:val="22"/>
              <w:spacing w:line="0" w:lineRule="atLeast"/>
              <w:ind w:left="113"/>
              <w:jc w:val="center"/>
              <w:rPr>
                <w:rFonts w:ascii="Times New Roman" w:hAnsi="Times New Roman" w:eastAsia="黑体" w:cs="Times New Roman"/>
                <w:color w:val="auto"/>
                <w:sz w:val="21"/>
                <w:szCs w:val="21"/>
                <w:highlight w:val="none"/>
                <w:lang w:eastAsia="zh-CN"/>
              </w:rPr>
            </w:pPr>
            <w:r>
              <w:rPr>
                <w:rFonts w:ascii="Times New Roman" w:hAnsi="Times New Roman" w:cs="Times New Roman"/>
                <w:color w:val="auto"/>
                <w:sz w:val="24"/>
                <w:szCs w:val="24"/>
                <w:highlight w:val="none"/>
                <w:lang w:eastAsia="zh-CN"/>
              </w:rPr>
              <w:t xml:space="preserve">  1</w:t>
            </w:r>
            <w:r>
              <w:rPr>
                <w:rFonts w:hint="eastAsia" w:ascii="Times New Roman" w:hAnsi="Times New Roman" w:cs="Times New Roman"/>
                <w:color w:val="auto"/>
                <w:sz w:val="24"/>
                <w:szCs w:val="24"/>
                <w:highlight w:val="none"/>
                <w:lang w:eastAsia="zh-CN"/>
              </w:rPr>
              <w:t>吨</w:t>
            </w:r>
            <w:r>
              <w:rPr>
                <w:rFonts w:hint="eastAsia" w:asciiTheme="minorEastAsia" w:hAnsiTheme="minorEastAsia"/>
                <w:sz w:val="24"/>
                <w:szCs w:val="24"/>
                <w:highlight w:val="none"/>
                <w:lang w:eastAsia="zh-CN"/>
              </w:rPr>
              <w:t>AC4C</w:t>
            </w:r>
            <w:r>
              <w:rPr>
                <w:rFonts w:ascii="Times New Roman" w:hAnsi="Times New Roman" w:cs="Times New Roman"/>
                <w:color w:val="auto"/>
                <w:sz w:val="24"/>
                <w:szCs w:val="24"/>
                <w:highlight w:val="none"/>
                <w:lang w:eastAsia="zh-CN"/>
              </w:rPr>
              <w:t>铝合金</w:t>
            </w:r>
            <w:r>
              <w:rPr>
                <w:rFonts w:hint="eastAsia" w:ascii="Times New Roman" w:hAnsi="Times New Roman" w:cs="Times New Roman"/>
                <w:color w:val="auto"/>
                <w:sz w:val="24"/>
                <w:szCs w:val="24"/>
                <w:highlight w:val="none"/>
                <w:lang w:eastAsia="zh-CN"/>
              </w:rPr>
              <w:t>产品</w:t>
            </w:r>
            <w:r>
              <w:rPr>
                <w:rFonts w:ascii="Times New Roman" w:hAnsi="Times New Roman" w:cs="Times New Roman"/>
                <w:color w:val="auto"/>
                <w:sz w:val="24"/>
                <w:szCs w:val="24"/>
                <w:highlight w:val="none"/>
                <w:lang w:eastAsia="zh-CN"/>
              </w:rPr>
              <w:t>生命周期各过程WU和AP指标结果</w:t>
            </w:r>
          </w:p>
        </w:tc>
      </w:tr>
      <w:tr w14:paraId="54B80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376" w:type="dxa"/>
            <w:vMerge w:val="restart"/>
            <w:shd w:val="clear" w:color="auto" w:fill="auto"/>
            <w:noWrap/>
            <w:vAlign w:val="center"/>
          </w:tcPr>
          <w:p w14:paraId="33244FF3">
            <w:pPr>
              <w:pStyle w:val="22"/>
              <w:spacing w:line="0" w:lineRule="atLeast"/>
              <w:ind w:left="113"/>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过程名称</w:t>
            </w:r>
          </w:p>
        </w:tc>
        <w:tc>
          <w:tcPr>
            <w:tcW w:w="3265" w:type="dxa"/>
            <w:gridSpan w:val="2"/>
            <w:shd w:val="clear" w:color="auto" w:fill="auto"/>
            <w:noWrap/>
            <w:vAlign w:val="center"/>
          </w:tcPr>
          <w:p w14:paraId="131BDD45">
            <w:pPr>
              <w:pStyle w:val="22"/>
              <w:spacing w:line="0" w:lineRule="atLeast"/>
              <w:ind w:left="113"/>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WU</w:t>
            </w:r>
          </w:p>
        </w:tc>
        <w:tc>
          <w:tcPr>
            <w:tcW w:w="2736" w:type="dxa"/>
            <w:gridSpan w:val="4"/>
            <w:shd w:val="clear" w:color="auto" w:fill="auto"/>
            <w:noWrap/>
            <w:vAlign w:val="center"/>
          </w:tcPr>
          <w:p w14:paraId="2F045830">
            <w:pPr>
              <w:pStyle w:val="22"/>
              <w:spacing w:line="0" w:lineRule="atLeast"/>
              <w:ind w:left="113"/>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AP</w:t>
            </w:r>
          </w:p>
        </w:tc>
      </w:tr>
      <w:tr w14:paraId="415EC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376" w:type="dxa"/>
            <w:vMerge w:val="continue"/>
            <w:vAlign w:val="center"/>
          </w:tcPr>
          <w:p w14:paraId="32AA693C">
            <w:pPr>
              <w:pStyle w:val="22"/>
              <w:spacing w:line="0" w:lineRule="atLeast"/>
              <w:ind w:left="113"/>
              <w:jc w:val="center"/>
              <w:rPr>
                <w:rFonts w:ascii="Times New Roman" w:hAnsi="Times New Roman" w:cs="Times New Roman"/>
                <w:color w:val="auto"/>
                <w:sz w:val="21"/>
                <w:szCs w:val="21"/>
                <w:highlight w:val="none"/>
              </w:rPr>
            </w:pPr>
          </w:p>
        </w:tc>
        <w:tc>
          <w:tcPr>
            <w:tcW w:w="2268" w:type="dxa"/>
            <w:shd w:val="clear" w:color="auto" w:fill="auto"/>
            <w:noWrap/>
            <w:vAlign w:val="center"/>
          </w:tcPr>
          <w:p w14:paraId="4E93E1E3">
            <w:pPr>
              <w:pStyle w:val="22"/>
              <w:spacing w:line="0" w:lineRule="atLeast"/>
              <w:ind w:left="113"/>
              <w:jc w:val="center"/>
              <w:rPr>
                <w:rFonts w:ascii="Times New Roman" w:hAnsi="Times New Roman" w:cs="Times New Roman"/>
                <w:color w:val="auto"/>
                <w:sz w:val="21"/>
                <w:szCs w:val="21"/>
                <w:highlight w:val="none"/>
                <w:lang w:eastAsia="zh-CN"/>
              </w:rPr>
            </w:pPr>
            <w:r>
              <w:rPr>
                <w:rFonts w:ascii="Times New Roman" w:hAnsi="Times New Roman" w:cs="Times New Roman"/>
                <w:color w:val="auto"/>
                <w:sz w:val="21"/>
                <w:szCs w:val="21"/>
                <w:highlight w:val="none"/>
              </w:rPr>
              <w:t xml:space="preserve">指标值 </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rPr>
              <w:t xml:space="preserve"> M</w:t>
            </w:r>
            <w:r>
              <w:rPr>
                <w:rFonts w:hint="eastAsia" w:ascii="Times New Roman" w:hAnsi="Times New Roman" w:cs="Times New Roman"/>
                <w:color w:val="auto"/>
                <w:sz w:val="21"/>
                <w:szCs w:val="21"/>
                <w:highlight w:val="none"/>
                <w:vertAlign w:val="superscript"/>
                <w:lang w:eastAsia="zh-CN"/>
              </w:rPr>
              <w:t>3</w:t>
            </w:r>
            <w:r>
              <w:rPr>
                <w:rFonts w:hint="eastAsia" w:ascii="Times New Roman" w:hAnsi="Times New Roman" w:cs="Times New Roman"/>
                <w:color w:val="auto"/>
                <w:sz w:val="21"/>
                <w:szCs w:val="21"/>
                <w:highlight w:val="none"/>
              </w:rPr>
              <w:t>/t</w:t>
            </w:r>
            <w:r>
              <w:rPr>
                <w:rFonts w:hint="eastAsia" w:ascii="Times New Roman" w:hAnsi="Times New Roman" w:cs="Times New Roman"/>
                <w:color w:val="auto"/>
                <w:sz w:val="21"/>
                <w:szCs w:val="21"/>
                <w:highlight w:val="none"/>
                <w:lang w:eastAsia="zh-CN"/>
              </w:rPr>
              <w:t>)</w:t>
            </w:r>
          </w:p>
        </w:tc>
        <w:tc>
          <w:tcPr>
            <w:tcW w:w="997" w:type="dxa"/>
            <w:shd w:val="clear" w:color="auto" w:fill="auto"/>
            <w:noWrap/>
            <w:vAlign w:val="center"/>
          </w:tcPr>
          <w:p w14:paraId="1A4D990F">
            <w:pPr>
              <w:pStyle w:val="22"/>
              <w:spacing w:line="0" w:lineRule="atLeast"/>
              <w:ind w:left="113"/>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占比</w:t>
            </w:r>
          </w:p>
        </w:tc>
        <w:tc>
          <w:tcPr>
            <w:tcW w:w="1774" w:type="dxa"/>
            <w:gridSpan w:val="2"/>
            <w:shd w:val="clear" w:color="auto" w:fill="auto"/>
            <w:noWrap/>
            <w:vAlign w:val="center"/>
          </w:tcPr>
          <w:p w14:paraId="2DF594E4">
            <w:pPr>
              <w:pStyle w:val="22"/>
              <w:spacing w:line="0" w:lineRule="atLeast"/>
              <w:ind w:left="113"/>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指标值（kg SO2 eq.）</w:t>
            </w:r>
          </w:p>
        </w:tc>
        <w:tc>
          <w:tcPr>
            <w:tcW w:w="962" w:type="dxa"/>
            <w:gridSpan w:val="2"/>
            <w:shd w:val="clear" w:color="auto" w:fill="auto"/>
            <w:noWrap/>
            <w:vAlign w:val="center"/>
          </w:tcPr>
          <w:p w14:paraId="415DAA65">
            <w:pPr>
              <w:pStyle w:val="22"/>
              <w:spacing w:line="0" w:lineRule="atLeast"/>
              <w:ind w:left="113"/>
              <w:jc w:val="center"/>
              <w:rPr>
                <w:rFonts w:ascii="Times New Roman" w:hAnsi="Times New Roman" w:cs="Times New Roman"/>
                <w:color w:val="auto"/>
                <w:sz w:val="21"/>
                <w:szCs w:val="21"/>
                <w:highlight w:val="none"/>
              </w:rPr>
            </w:pPr>
            <w:r>
              <w:rPr>
                <w:rFonts w:ascii="Times New Roman" w:hAnsi="Times New Roman" w:cs="Times New Roman"/>
                <w:color w:val="auto"/>
                <w:sz w:val="21"/>
                <w:szCs w:val="21"/>
                <w:highlight w:val="none"/>
              </w:rPr>
              <w:t>占比</w:t>
            </w:r>
          </w:p>
        </w:tc>
      </w:tr>
      <w:tr w14:paraId="6B518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376" w:type="dxa"/>
            <w:shd w:val="clear" w:color="auto" w:fill="auto"/>
            <w:noWrap/>
            <w:vAlign w:val="center"/>
          </w:tcPr>
          <w:p w14:paraId="6D133E4E">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原材料获取</w:t>
            </w:r>
          </w:p>
        </w:tc>
        <w:tc>
          <w:tcPr>
            <w:tcW w:w="2268" w:type="dxa"/>
            <w:shd w:val="clear" w:color="auto" w:fill="auto"/>
            <w:noWrap/>
            <w:vAlign w:val="center"/>
          </w:tcPr>
          <w:p w14:paraId="164A2D06">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c>
          <w:tcPr>
            <w:tcW w:w="997" w:type="dxa"/>
            <w:shd w:val="clear" w:color="auto" w:fill="auto"/>
            <w:noWrap/>
            <w:vAlign w:val="center"/>
          </w:tcPr>
          <w:p w14:paraId="36AE0E3B">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c>
          <w:tcPr>
            <w:tcW w:w="1774" w:type="dxa"/>
            <w:gridSpan w:val="2"/>
            <w:shd w:val="clear" w:color="auto" w:fill="auto"/>
            <w:noWrap/>
            <w:vAlign w:val="center"/>
          </w:tcPr>
          <w:p w14:paraId="4E64B91C">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c>
          <w:tcPr>
            <w:tcW w:w="962" w:type="dxa"/>
            <w:gridSpan w:val="2"/>
            <w:shd w:val="clear" w:color="auto" w:fill="auto"/>
            <w:noWrap/>
            <w:vAlign w:val="center"/>
          </w:tcPr>
          <w:p w14:paraId="091E528C">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r>
      <w:tr w14:paraId="0EF05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376" w:type="dxa"/>
            <w:shd w:val="clear" w:color="auto" w:fill="auto"/>
            <w:noWrap/>
            <w:vAlign w:val="center"/>
          </w:tcPr>
          <w:p w14:paraId="312E99A5">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原材料运输</w:t>
            </w:r>
          </w:p>
        </w:tc>
        <w:tc>
          <w:tcPr>
            <w:tcW w:w="2268" w:type="dxa"/>
            <w:shd w:val="clear" w:color="auto" w:fill="auto"/>
            <w:noWrap/>
            <w:vAlign w:val="center"/>
          </w:tcPr>
          <w:p w14:paraId="63C9282E">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c>
          <w:tcPr>
            <w:tcW w:w="997" w:type="dxa"/>
            <w:shd w:val="clear" w:color="auto" w:fill="auto"/>
            <w:noWrap/>
            <w:vAlign w:val="center"/>
          </w:tcPr>
          <w:p w14:paraId="3717535D">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c>
          <w:tcPr>
            <w:tcW w:w="1774" w:type="dxa"/>
            <w:gridSpan w:val="2"/>
            <w:shd w:val="clear" w:color="auto" w:fill="auto"/>
            <w:noWrap/>
            <w:vAlign w:val="center"/>
          </w:tcPr>
          <w:p w14:paraId="14E5EAC8">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c>
          <w:tcPr>
            <w:tcW w:w="962" w:type="dxa"/>
            <w:gridSpan w:val="2"/>
            <w:shd w:val="clear" w:color="auto" w:fill="auto"/>
            <w:noWrap/>
            <w:vAlign w:val="center"/>
          </w:tcPr>
          <w:p w14:paraId="536CC5E2">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r>
      <w:tr w14:paraId="31001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376" w:type="dxa"/>
            <w:shd w:val="clear" w:color="auto" w:fill="auto"/>
            <w:noWrap/>
            <w:vAlign w:val="center"/>
          </w:tcPr>
          <w:p w14:paraId="35477EE9">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cs="宋体" w:asciiTheme="minorEastAsia" w:hAnsiTheme="minorEastAsia"/>
                <w:color w:val="000000"/>
                <w:kern w:val="0"/>
                <w:sz w:val="24"/>
                <w:szCs w:val="24"/>
                <w:highlight w:val="none"/>
              </w:rPr>
              <w:t>AC4C</w:t>
            </w:r>
            <w:r>
              <w:rPr>
                <w:rFonts w:hint="eastAsia" w:ascii="Times New Roman" w:hAnsi="Times New Roman" w:cs="Times New Roman"/>
                <w:color w:val="auto"/>
                <w:sz w:val="21"/>
                <w:szCs w:val="21"/>
                <w:highlight w:val="none"/>
                <w:lang w:eastAsia="zh-CN"/>
              </w:rPr>
              <w:t>铝合金产品生产</w:t>
            </w:r>
          </w:p>
        </w:tc>
        <w:tc>
          <w:tcPr>
            <w:tcW w:w="2268" w:type="dxa"/>
            <w:shd w:val="clear" w:color="auto" w:fill="auto"/>
            <w:noWrap/>
            <w:vAlign w:val="center"/>
          </w:tcPr>
          <w:p w14:paraId="12DC828B">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0.11</w:t>
            </w:r>
          </w:p>
        </w:tc>
        <w:tc>
          <w:tcPr>
            <w:tcW w:w="997" w:type="dxa"/>
            <w:shd w:val="clear" w:color="auto" w:fill="auto"/>
            <w:noWrap/>
            <w:vAlign w:val="center"/>
          </w:tcPr>
          <w:p w14:paraId="3088D66E">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100%</w:t>
            </w:r>
          </w:p>
        </w:tc>
        <w:tc>
          <w:tcPr>
            <w:tcW w:w="1774" w:type="dxa"/>
            <w:gridSpan w:val="2"/>
            <w:shd w:val="clear" w:color="auto" w:fill="auto"/>
            <w:noWrap/>
            <w:vAlign w:val="center"/>
          </w:tcPr>
          <w:p w14:paraId="0C96FBD4">
            <w:pPr>
              <w:pStyle w:val="22"/>
              <w:spacing w:line="0" w:lineRule="atLeast"/>
              <w:ind w:left="113"/>
              <w:jc w:val="center"/>
              <w:rPr>
                <w:rFonts w:ascii="Times New Roman" w:hAnsi="Times New Roman" w:cs="Times New Roman"/>
                <w:color w:val="auto"/>
                <w:sz w:val="21"/>
                <w:szCs w:val="21"/>
                <w:highlight w:val="none"/>
              </w:rPr>
            </w:pPr>
            <w:r>
              <w:rPr>
                <w:rFonts w:hint="eastAsia"/>
                <w:color w:val="auto"/>
                <w:spacing w:val="-1"/>
                <w:highlight w:val="none"/>
                <w:lang w:eastAsia="zh-CN"/>
              </w:rPr>
              <w:t>0.6811</w:t>
            </w:r>
          </w:p>
        </w:tc>
        <w:tc>
          <w:tcPr>
            <w:tcW w:w="962" w:type="dxa"/>
            <w:gridSpan w:val="2"/>
            <w:shd w:val="clear" w:color="auto" w:fill="auto"/>
            <w:noWrap/>
            <w:vAlign w:val="center"/>
          </w:tcPr>
          <w:p w14:paraId="17479A88">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100%</w:t>
            </w:r>
          </w:p>
        </w:tc>
      </w:tr>
      <w:tr w14:paraId="047E8B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376" w:type="dxa"/>
            <w:shd w:val="clear" w:color="auto" w:fill="auto"/>
            <w:noWrap/>
            <w:vAlign w:val="center"/>
          </w:tcPr>
          <w:p w14:paraId="6B2B85B7">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废料处理</w:t>
            </w:r>
          </w:p>
        </w:tc>
        <w:tc>
          <w:tcPr>
            <w:tcW w:w="2268" w:type="dxa"/>
            <w:shd w:val="clear" w:color="auto" w:fill="auto"/>
            <w:noWrap/>
            <w:vAlign w:val="center"/>
          </w:tcPr>
          <w:p w14:paraId="7FB5BDFB">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c>
          <w:tcPr>
            <w:tcW w:w="997" w:type="dxa"/>
            <w:shd w:val="clear" w:color="auto" w:fill="auto"/>
            <w:noWrap/>
            <w:vAlign w:val="center"/>
          </w:tcPr>
          <w:p w14:paraId="7A4633CD">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c>
          <w:tcPr>
            <w:tcW w:w="1774" w:type="dxa"/>
            <w:gridSpan w:val="2"/>
            <w:shd w:val="clear" w:color="auto" w:fill="auto"/>
            <w:noWrap/>
            <w:vAlign w:val="center"/>
          </w:tcPr>
          <w:p w14:paraId="723E35C8">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c>
          <w:tcPr>
            <w:tcW w:w="962" w:type="dxa"/>
            <w:gridSpan w:val="2"/>
            <w:shd w:val="clear" w:color="auto" w:fill="auto"/>
            <w:noWrap/>
            <w:vAlign w:val="center"/>
          </w:tcPr>
          <w:p w14:paraId="57A232AA">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0</w:t>
            </w:r>
          </w:p>
        </w:tc>
      </w:tr>
      <w:tr w14:paraId="7B8893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8377" w:type="dxa"/>
            <w:gridSpan w:val="7"/>
            <w:shd w:val="clear" w:color="auto" w:fill="auto"/>
            <w:noWrap/>
            <w:vAlign w:val="center"/>
          </w:tcPr>
          <w:p w14:paraId="05AA90FB">
            <w:pPr>
              <w:pStyle w:val="22"/>
              <w:spacing w:line="0" w:lineRule="atLeast"/>
              <w:ind w:left="113"/>
              <w:jc w:val="center"/>
              <w:rPr>
                <w:rFonts w:ascii="Times New Roman" w:hAnsi="Times New Roman" w:cs="Times New Roman"/>
                <w:color w:val="auto"/>
                <w:sz w:val="24"/>
                <w:szCs w:val="24"/>
                <w:highlight w:val="none"/>
                <w:lang w:eastAsia="zh-CN"/>
              </w:rPr>
            </w:pPr>
            <w:r>
              <w:rPr>
                <w:rFonts w:ascii="Times New Roman" w:hAnsi="Times New Roman" w:cs="Times New Roman"/>
                <w:color w:val="auto"/>
                <w:sz w:val="24"/>
                <w:szCs w:val="24"/>
                <w:highlight w:val="none"/>
                <w:lang w:eastAsia="zh-CN"/>
              </w:rPr>
              <w:t>1</w:t>
            </w:r>
            <w:r>
              <w:rPr>
                <w:rFonts w:hint="eastAsia" w:ascii="Times New Roman" w:hAnsi="Times New Roman" w:cs="Times New Roman"/>
                <w:color w:val="auto"/>
                <w:sz w:val="24"/>
                <w:szCs w:val="24"/>
                <w:highlight w:val="none"/>
                <w:lang w:eastAsia="zh-CN"/>
              </w:rPr>
              <w:t>吨</w:t>
            </w:r>
            <w:r>
              <w:rPr>
                <w:rFonts w:hint="eastAsia" w:cs="宋体" w:asciiTheme="minorEastAsia" w:hAnsiTheme="minorEastAsia"/>
                <w:color w:val="000000"/>
                <w:kern w:val="0"/>
                <w:sz w:val="24"/>
                <w:szCs w:val="24"/>
                <w:highlight w:val="none"/>
              </w:rPr>
              <w:t>AC4C</w:t>
            </w:r>
            <w:r>
              <w:rPr>
                <w:rFonts w:ascii="Times New Roman" w:hAnsi="Times New Roman" w:cs="Times New Roman"/>
                <w:color w:val="auto"/>
                <w:sz w:val="24"/>
                <w:szCs w:val="24"/>
                <w:highlight w:val="none"/>
                <w:lang w:eastAsia="zh-CN"/>
              </w:rPr>
              <w:t>铝合金</w:t>
            </w:r>
            <w:r>
              <w:rPr>
                <w:rFonts w:hint="eastAsia" w:ascii="Times New Roman" w:hAnsi="Times New Roman" w:cs="Times New Roman"/>
                <w:color w:val="auto"/>
                <w:sz w:val="24"/>
                <w:szCs w:val="24"/>
                <w:highlight w:val="none"/>
                <w:lang w:eastAsia="zh-CN"/>
              </w:rPr>
              <w:t>产品</w:t>
            </w:r>
            <w:r>
              <w:rPr>
                <w:rFonts w:ascii="Times New Roman" w:hAnsi="Times New Roman" w:cs="Times New Roman"/>
                <w:color w:val="auto"/>
                <w:sz w:val="24"/>
                <w:szCs w:val="24"/>
                <w:highlight w:val="none"/>
                <w:lang w:eastAsia="zh-CN"/>
              </w:rPr>
              <w:t>生命周期各过程EP和PM指标结果</w:t>
            </w:r>
          </w:p>
        </w:tc>
      </w:tr>
      <w:tr w14:paraId="194DB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376" w:type="dxa"/>
            <w:vMerge w:val="restart"/>
            <w:shd w:val="clear" w:color="auto" w:fill="auto"/>
            <w:noWrap/>
            <w:vAlign w:val="center"/>
          </w:tcPr>
          <w:p w14:paraId="41889C16">
            <w:pPr>
              <w:pStyle w:val="22"/>
              <w:spacing w:line="0" w:lineRule="atLeast"/>
              <w:ind w:left="113"/>
              <w:jc w:val="center"/>
              <w:rPr>
                <w:rFonts w:hint="eastAsia" w:cs="Times New Roman" w:asciiTheme="minorEastAsia" w:hAnsiTheme="minorEastAsia" w:eastAsiaTheme="minorEastAsia"/>
                <w:color w:val="auto"/>
                <w:sz w:val="21"/>
                <w:szCs w:val="21"/>
                <w:highlight w:val="none"/>
              </w:rPr>
            </w:pPr>
            <w:r>
              <w:rPr>
                <w:rFonts w:cs="Times New Roman" w:asciiTheme="minorEastAsia" w:hAnsiTheme="minorEastAsia" w:eastAsiaTheme="minorEastAsia"/>
                <w:color w:val="auto"/>
                <w:sz w:val="21"/>
                <w:szCs w:val="21"/>
                <w:highlight w:val="none"/>
              </w:rPr>
              <w:t>过程名称</w:t>
            </w:r>
          </w:p>
        </w:tc>
        <w:tc>
          <w:tcPr>
            <w:tcW w:w="3265" w:type="dxa"/>
            <w:gridSpan w:val="2"/>
            <w:shd w:val="clear" w:color="auto" w:fill="auto"/>
            <w:noWrap/>
            <w:vAlign w:val="center"/>
          </w:tcPr>
          <w:p w14:paraId="30D8D607">
            <w:pPr>
              <w:pStyle w:val="22"/>
              <w:spacing w:line="0" w:lineRule="atLeast"/>
              <w:ind w:left="113"/>
              <w:jc w:val="center"/>
              <w:rPr>
                <w:rFonts w:hint="eastAsia" w:cs="Times New Roman" w:asciiTheme="minorEastAsia" w:hAnsiTheme="minorEastAsia" w:eastAsiaTheme="minorEastAsia"/>
                <w:color w:val="auto"/>
                <w:sz w:val="21"/>
                <w:szCs w:val="21"/>
                <w:highlight w:val="none"/>
                <w:lang w:eastAsia="zh-CN"/>
              </w:rPr>
            </w:pPr>
            <w:r>
              <w:rPr>
                <w:rFonts w:hint="eastAsia" w:cs="Times New Roman" w:asciiTheme="minorEastAsia" w:hAnsiTheme="minorEastAsia" w:eastAsiaTheme="minorEastAsia"/>
                <w:color w:val="auto"/>
                <w:sz w:val="21"/>
                <w:szCs w:val="21"/>
                <w:highlight w:val="none"/>
                <w:lang w:eastAsia="zh-CN"/>
              </w:rPr>
              <w:t>PM</w:t>
            </w:r>
          </w:p>
        </w:tc>
        <w:tc>
          <w:tcPr>
            <w:tcW w:w="2736" w:type="dxa"/>
            <w:gridSpan w:val="4"/>
            <w:shd w:val="clear" w:color="auto" w:fill="auto"/>
            <w:noWrap/>
            <w:vAlign w:val="center"/>
          </w:tcPr>
          <w:p w14:paraId="0997A2D0">
            <w:pPr>
              <w:pStyle w:val="22"/>
              <w:spacing w:line="0" w:lineRule="atLeast"/>
              <w:ind w:left="113"/>
              <w:jc w:val="center"/>
              <w:rPr>
                <w:rFonts w:hint="eastAsia" w:cs="Times New Roman" w:asciiTheme="minorEastAsia" w:hAnsiTheme="minorEastAsia" w:eastAsiaTheme="minorEastAsia"/>
                <w:color w:val="auto"/>
                <w:sz w:val="21"/>
                <w:szCs w:val="21"/>
                <w:highlight w:val="none"/>
              </w:rPr>
            </w:pPr>
          </w:p>
        </w:tc>
      </w:tr>
      <w:tr w14:paraId="29D1B8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376" w:type="dxa"/>
            <w:vMerge w:val="continue"/>
            <w:vAlign w:val="center"/>
          </w:tcPr>
          <w:p w14:paraId="5598481D">
            <w:pPr>
              <w:pStyle w:val="22"/>
              <w:spacing w:line="0" w:lineRule="atLeast"/>
              <w:ind w:left="113"/>
              <w:jc w:val="center"/>
              <w:rPr>
                <w:rFonts w:hint="eastAsia" w:cs="Times New Roman" w:asciiTheme="minorEastAsia" w:hAnsiTheme="minorEastAsia" w:eastAsiaTheme="minorEastAsia"/>
                <w:color w:val="auto"/>
                <w:sz w:val="21"/>
                <w:szCs w:val="21"/>
                <w:highlight w:val="none"/>
              </w:rPr>
            </w:pPr>
          </w:p>
        </w:tc>
        <w:tc>
          <w:tcPr>
            <w:tcW w:w="2268" w:type="dxa"/>
            <w:shd w:val="clear" w:color="auto" w:fill="auto"/>
            <w:noWrap/>
            <w:vAlign w:val="center"/>
          </w:tcPr>
          <w:p w14:paraId="4E136D41">
            <w:pPr>
              <w:pStyle w:val="22"/>
              <w:spacing w:line="0" w:lineRule="atLeast"/>
              <w:ind w:left="113"/>
              <w:jc w:val="center"/>
              <w:rPr>
                <w:rFonts w:hint="eastAsia" w:cs="Times New Roman" w:asciiTheme="minorEastAsia" w:hAnsiTheme="minorEastAsia" w:eastAsiaTheme="minorEastAsia"/>
                <w:color w:val="auto"/>
                <w:sz w:val="21"/>
                <w:szCs w:val="21"/>
                <w:highlight w:val="none"/>
                <w:lang w:eastAsia="zh-CN"/>
              </w:rPr>
            </w:pPr>
            <w:r>
              <w:rPr>
                <w:rFonts w:cs="Times New Roman" w:asciiTheme="minorEastAsia" w:hAnsiTheme="minorEastAsia" w:eastAsiaTheme="minorEastAsia"/>
                <w:color w:val="auto"/>
                <w:sz w:val="21"/>
                <w:szCs w:val="21"/>
                <w:highlight w:val="none"/>
              </w:rPr>
              <w:t>指标值 (PM2.5 eq.)</w:t>
            </w:r>
          </w:p>
        </w:tc>
        <w:tc>
          <w:tcPr>
            <w:tcW w:w="997" w:type="dxa"/>
            <w:shd w:val="clear" w:color="auto" w:fill="auto"/>
            <w:noWrap/>
            <w:vAlign w:val="center"/>
          </w:tcPr>
          <w:p w14:paraId="5A5345F5">
            <w:pPr>
              <w:pStyle w:val="22"/>
              <w:spacing w:line="0" w:lineRule="atLeast"/>
              <w:ind w:left="113"/>
              <w:jc w:val="center"/>
              <w:rPr>
                <w:rFonts w:hint="eastAsia" w:cs="Times New Roman" w:asciiTheme="minorEastAsia" w:hAnsiTheme="minorEastAsia" w:eastAsiaTheme="minorEastAsia"/>
                <w:color w:val="auto"/>
                <w:sz w:val="21"/>
                <w:szCs w:val="21"/>
                <w:highlight w:val="none"/>
              </w:rPr>
            </w:pPr>
            <w:r>
              <w:rPr>
                <w:rFonts w:cs="Times New Roman" w:asciiTheme="minorEastAsia" w:hAnsiTheme="minorEastAsia" w:eastAsiaTheme="minorEastAsia"/>
                <w:color w:val="auto"/>
                <w:sz w:val="21"/>
                <w:szCs w:val="21"/>
                <w:highlight w:val="none"/>
              </w:rPr>
              <w:t>占比</w:t>
            </w:r>
          </w:p>
        </w:tc>
        <w:tc>
          <w:tcPr>
            <w:tcW w:w="1774" w:type="dxa"/>
            <w:gridSpan w:val="2"/>
            <w:shd w:val="clear" w:color="auto" w:fill="auto"/>
            <w:noWrap/>
            <w:vAlign w:val="center"/>
          </w:tcPr>
          <w:p w14:paraId="47AF9EB2">
            <w:pPr>
              <w:pStyle w:val="22"/>
              <w:spacing w:line="0" w:lineRule="atLeast"/>
              <w:ind w:left="113"/>
              <w:jc w:val="center"/>
              <w:rPr>
                <w:rFonts w:hint="eastAsia" w:cs="Times New Roman" w:asciiTheme="minorEastAsia" w:hAnsiTheme="minorEastAsia" w:eastAsiaTheme="minorEastAsia"/>
                <w:color w:val="auto"/>
                <w:sz w:val="21"/>
                <w:szCs w:val="21"/>
                <w:highlight w:val="none"/>
              </w:rPr>
            </w:pPr>
          </w:p>
        </w:tc>
        <w:tc>
          <w:tcPr>
            <w:tcW w:w="962" w:type="dxa"/>
            <w:gridSpan w:val="2"/>
            <w:shd w:val="clear" w:color="auto" w:fill="auto"/>
            <w:noWrap/>
            <w:vAlign w:val="center"/>
          </w:tcPr>
          <w:p w14:paraId="3767F293">
            <w:pPr>
              <w:pStyle w:val="22"/>
              <w:spacing w:line="0" w:lineRule="atLeast"/>
              <w:ind w:left="113"/>
              <w:jc w:val="center"/>
              <w:rPr>
                <w:rFonts w:hint="eastAsia" w:cs="Times New Roman" w:asciiTheme="minorEastAsia" w:hAnsiTheme="minorEastAsia" w:eastAsiaTheme="minorEastAsia"/>
                <w:color w:val="auto"/>
                <w:sz w:val="21"/>
                <w:szCs w:val="21"/>
                <w:highlight w:val="none"/>
              </w:rPr>
            </w:pPr>
          </w:p>
        </w:tc>
      </w:tr>
      <w:tr w14:paraId="243469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376" w:type="dxa"/>
            <w:shd w:val="clear" w:color="auto" w:fill="auto"/>
            <w:noWrap/>
            <w:vAlign w:val="center"/>
          </w:tcPr>
          <w:p w14:paraId="6D8EFC4D">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原材料获取</w:t>
            </w:r>
          </w:p>
        </w:tc>
        <w:tc>
          <w:tcPr>
            <w:tcW w:w="2268" w:type="dxa"/>
            <w:shd w:val="clear" w:color="auto" w:fill="auto"/>
            <w:noWrap/>
            <w:vAlign w:val="center"/>
          </w:tcPr>
          <w:p w14:paraId="2172028C">
            <w:pPr>
              <w:pStyle w:val="22"/>
              <w:spacing w:line="0" w:lineRule="atLeast"/>
              <w:ind w:left="113"/>
              <w:jc w:val="center"/>
              <w:rPr>
                <w:rFonts w:hint="eastAsia" w:cs="Times New Roman" w:asciiTheme="minorEastAsia" w:hAnsiTheme="minorEastAsia" w:eastAsiaTheme="minorEastAsia"/>
                <w:color w:val="auto"/>
                <w:sz w:val="21"/>
                <w:szCs w:val="21"/>
                <w:highlight w:val="none"/>
                <w:lang w:eastAsia="zh-CN"/>
              </w:rPr>
            </w:pPr>
            <w:r>
              <w:rPr>
                <w:rFonts w:hint="eastAsia" w:cs="Times New Roman" w:asciiTheme="minorEastAsia" w:hAnsiTheme="minorEastAsia" w:eastAsiaTheme="minorEastAsia"/>
                <w:color w:val="auto"/>
                <w:sz w:val="21"/>
                <w:szCs w:val="21"/>
                <w:highlight w:val="none"/>
                <w:lang w:eastAsia="zh-CN"/>
              </w:rPr>
              <w:t>0</w:t>
            </w:r>
          </w:p>
        </w:tc>
        <w:tc>
          <w:tcPr>
            <w:tcW w:w="997" w:type="dxa"/>
            <w:shd w:val="clear" w:color="auto" w:fill="auto"/>
            <w:noWrap/>
            <w:vAlign w:val="center"/>
          </w:tcPr>
          <w:p w14:paraId="2DD86FFB">
            <w:pPr>
              <w:pStyle w:val="22"/>
              <w:spacing w:line="0" w:lineRule="atLeast"/>
              <w:ind w:left="113"/>
              <w:jc w:val="center"/>
              <w:rPr>
                <w:rFonts w:hint="eastAsia" w:cs="Times New Roman" w:asciiTheme="minorEastAsia" w:hAnsiTheme="minorEastAsia" w:eastAsiaTheme="minorEastAsia"/>
                <w:color w:val="auto"/>
                <w:sz w:val="21"/>
                <w:szCs w:val="21"/>
                <w:highlight w:val="none"/>
                <w:lang w:eastAsia="zh-CN"/>
              </w:rPr>
            </w:pPr>
            <w:r>
              <w:rPr>
                <w:rFonts w:hint="eastAsia" w:cs="Times New Roman" w:asciiTheme="minorEastAsia" w:hAnsiTheme="minorEastAsia" w:eastAsiaTheme="minorEastAsia"/>
                <w:color w:val="auto"/>
                <w:sz w:val="21"/>
                <w:szCs w:val="21"/>
                <w:highlight w:val="none"/>
                <w:lang w:eastAsia="zh-CN"/>
              </w:rPr>
              <w:t>0</w:t>
            </w:r>
          </w:p>
        </w:tc>
        <w:tc>
          <w:tcPr>
            <w:tcW w:w="1774" w:type="dxa"/>
            <w:gridSpan w:val="2"/>
            <w:shd w:val="clear" w:color="auto" w:fill="auto"/>
            <w:noWrap/>
            <w:vAlign w:val="center"/>
          </w:tcPr>
          <w:p w14:paraId="634CAFB9">
            <w:pPr>
              <w:pStyle w:val="22"/>
              <w:spacing w:line="0" w:lineRule="atLeast"/>
              <w:ind w:left="113"/>
              <w:jc w:val="center"/>
              <w:rPr>
                <w:rFonts w:hint="eastAsia" w:cs="Times New Roman" w:asciiTheme="minorEastAsia" w:hAnsiTheme="minorEastAsia" w:eastAsiaTheme="minorEastAsia"/>
                <w:color w:val="auto"/>
                <w:sz w:val="21"/>
                <w:szCs w:val="21"/>
                <w:highlight w:val="none"/>
              </w:rPr>
            </w:pPr>
          </w:p>
        </w:tc>
        <w:tc>
          <w:tcPr>
            <w:tcW w:w="962" w:type="dxa"/>
            <w:gridSpan w:val="2"/>
            <w:shd w:val="clear" w:color="auto" w:fill="auto"/>
            <w:noWrap/>
            <w:vAlign w:val="center"/>
          </w:tcPr>
          <w:p w14:paraId="0FFE2740">
            <w:pPr>
              <w:pStyle w:val="22"/>
              <w:spacing w:line="0" w:lineRule="atLeast"/>
              <w:ind w:left="113"/>
              <w:jc w:val="center"/>
              <w:rPr>
                <w:rFonts w:hint="eastAsia" w:cs="Times New Roman" w:asciiTheme="minorEastAsia" w:hAnsiTheme="minorEastAsia" w:eastAsiaTheme="minorEastAsia"/>
                <w:color w:val="auto"/>
                <w:sz w:val="21"/>
                <w:szCs w:val="21"/>
                <w:highlight w:val="none"/>
              </w:rPr>
            </w:pPr>
          </w:p>
        </w:tc>
      </w:tr>
      <w:tr w14:paraId="3A81C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376" w:type="dxa"/>
            <w:shd w:val="clear" w:color="auto" w:fill="auto"/>
            <w:noWrap/>
            <w:vAlign w:val="center"/>
          </w:tcPr>
          <w:p w14:paraId="09D1E68D">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原材料运输</w:t>
            </w:r>
          </w:p>
        </w:tc>
        <w:tc>
          <w:tcPr>
            <w:tcW w:w="2268" w:type="dxa"/>
            <w:shd w:val="clear" w:color="auto" w:fill="auto"/>
            <w:noWrap/>
            <w:vAlign w:val="center"/>
          </w:tcPr>
          <w:p w14:paraId="54865D14">
            <w:pPr>
              <w:pStyle w:val="22"/>
              <w:spacing w:line="0" w:lineRule="atLeast"/>
              <w:ind w:left="113"/>
              <w:jc w:val="center"/>
              <w:rPr>
                <w:rFonts w:hint="eastAsia" w:cs="Times New Roman" w:asciiTheme="minorEastAsia" w:hAnsiTheme="minorEastAsia" w:eastAsiaTheme="minorEastAsia"/>
                <w:color w:val="auto"/>
                <w:sz w:val="21"/>
                <w:szCs w:val="21"/>
                <w:highlight w:val="none"/>
                <w:lang w:eastAsia="zh-CN"/>
              </w:rPr>
            </w:pPr>
            <w:r>
              <w:rPr>
                <w:rFonts w:hint="eastAsia" w:cs="Times New Roman" w:asciiTheme="minorEastAsia" w:hAnsiTheme="minorEastAsia" w:eastAsiaTheme="minorEastAsia"/>
                <w:color w:val="auto"/>
                <w:sz w:val="21"/>
                <w:szCs w:val="21"/>
                <w:highlight w:val="none"/>
                <w:lang w:eastAsia="zh-CN"/>
              </w:rPr>
              <w:t>0</w:t>
            </w:r>
          </w:p>
        </w:tc>
        <w:tc>
          <w:tcPr>
            <w:tcW w:w="997" w:type="dxa"/>
            <w:shd w:val="clear" w:color="auto" w:fill="auto"/>
            <w:noWrap/>
            <w:vAlign w:val="center"/>
          </w:tcPr>
          <w:p w14:paraId="41ADA866">
            <w:pPr>
              <w:pStyle w:val="22"/>
              <w:spacing w:line="0" w:lineRule="atLeast"/>
              <w:ind w:left="113"/>
              <w:jc w:val="center"/>
              <w:rPr>
                <w:rFonts w:hint="eastAsia" w:cs="Times New Roman" w:asciiTheme="minorEastAsia" w:hAnsiTheme="minorEastAsia" w:eastAsiaTheme="minorEastAsia"/>
                <w:color w:val="auto"/>
                <w:sz w:val="21"/>
                <w:szCs w:val="21"/>
                <w:highlight w:val="none"/>
                <w:lang w:eastAsia="zh-CN"/>
              </w:rPr>
            </w:pPr>
            <w:r>
              <w:rPr>
                <w:rFonts w:hint="eastAsia" w:cs="Times New Roman" w:asciiTheme="minorEastAsia" w:hAnsiTheme="minorEastAsia" w:eastAsiaTheme="minorEastAsia"/>
                <w:color w:val="auto"/>
                <w:sz w:val="21"/>
                <w:szCs w:val="21"/>
                <w:highlight w:val="none"/>
                <w:lang w:eastAsia="zh-CN"/>
              </w:rPr>
              <w:t>0</w:t>
            </w:r>
          </w:p>
        </w:tc>
        <w:tc>
          <w:tcPr>
            <w:tcW w:w="1774" w:type="dxa"/>
            <w:gridSpan w:val="2"/>
            <w:shd w:val="clear" w:color="auto" w:fill="auto"/>
            <w:noWrap/>
            <w:vAlign w:val="center"/>
          </w:tcPr>
          <w:p w14:paraId="3E222C9E">
            <w:pPr>
              <w:pStyle w:val="22"/>
              <w:spacing w:line="0" w:lineRule="atLeast"/>
              <w:ind w:left="113"/>
              <w:jc w:val="center"/>
              <w:rPr>
                <w:rFonts w:hint="eastAsia" w:cs="Times New Roman" w:asciiTheme="minorEastAsia" w:hAnsiTheme="minorEastAsia" w:eastAsiaTheme="minorEastAsia"/>
                <w:color w:val="auto"/>
                <w:sz w:val="21"/>
                <w:szCs w:val="21"/>
                <w:highlight w:val="none"/>
              </w:rPr>
            </w:pPr>
          </w:p>
        </w:tc>
        <w:tc>
          <w:tcPr>
            <w:tcW w:w="962" w:type="dxa"/>
            <w:gridSpan w:val="2"/>
            <w:shd w:val="clear" w:color="auto" w:fill="auto"/>
            <w:noWrap/>
            <w:vAlign w:val="center"/>
          </w:tcPr>
          <w:p w14:paraId="401681E4">
            <w:pPr>
              <w:pStyle w:val="22"/>
              <w:spacing w:line="0" w:lineRule="atLeast"/>
              <w:ind w:left="113"/>
              <w:jc w:val="center"/>
              <w:rPr>
                <w:rFonts w:hint="eastAsia" w:cs="Times New Roman" w:asciiTheme="minorEastAsia" w:hAnsiTheme="minorEastAsia" w:eastAsiaTheme="minorEastAsia"/>
                <w:color w:val="auto"/>
                <w:sz w:val="21"/>
                <w:szCs w:val="21"/>
                <w:highlight w:val="none"/>
              </w:rPr>
            </w:pPr>
          </w:p>
        </w:tc>
      </w:tr>
      <w:tr w14:paraId="18F50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376" w:type="dxa"/>
            <w:shd w:val="clear" w:color="auto" w:fill="auto"/>
            <w:noWrap/>
            <w:vAlign w:val="center"/>
          </w:tcPr>
          <w:p w14:paraId="20F52EBD">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cs="宋体" w:asciiTheme="minorEastAsia" w:hAnsiTheme="minorEastAsia"/>
                <w:color w:val="000000"/>
                <w:kern w:val="0"/>
                <w:sz w:val="24"/>
                <w:szCs w:val="24"/>
                <w:highlight w:val="none"/>
              </w:rPr>
              <w:t>AC4C</w:t>
            </w:r>
            <w:r>
              <w:rPr>
                <w:rFonts w:hint="eastAsia" w:ascii="Times New Roman" w:hAnsi="Times New Roman" w:cs="Times New Roman"/>
                <w:color w:val="auto"/>
                <w:sz w:val="21"/>
                <w:szCs w:val="21"/>
                <w:highlight w:val="none"/>
                <w:lang w:eastAsia="zh-CN"/>
              </w:rPr>
              <w:t>铝合金产品生产</w:t>
            </w:r>
          </w:p>
        </w:tc>
        <w:tc>
          <w:tcPr>
            <w:tcW w:w="2268" w:type="dxa"/>
            <w:shd w:val="clear" w:color="auto" w:fill="auto"/>
            <w:noWrap/>
            <w:vAlign w:val="center"/>
          </w:tcPr>
          <w:p w14:paraId="790ED023">
            <w:pPr>
              <w:pStyle w:val="22"/>
              <w:spacing w:line="0" w:lineRule="atLeast"/>
              <w:ind w:left="113"/>
              <w:jc w:val="center"/>
              <w:rPr>
                <w:rFonts w:hint="eastAsia"/>
                <w:color w:val="auto"/>
                <w:spacing w:val="-1"/>
                <w:highlight w:val="none"/>
                <w:lang w:eastAsia="zh-CN"/>
              </w:rPr>
            </w:pPr>
            <w:r>
              <w:rPr>
                <w:rFonts w:hint="eastAsia" w:ascii="Times New Roman" w:hAnsi="Times New Roman" w:cs="Times New Roman"/>
                <w:color w:val="000000" w:themeColor="text1"/>
                <w:sz w:val="21"/>
                <w:szCs w:val="21"/>
                <w:highlight w:val="none"/>
                <w:lang w:eastAsia="zh-CN"/>
              </w:rPr>
              <w:t>0.0001</w:t>
            </w:r>
            <w:bookmarkStart w:id="12" w:name="_GoBack"/>
            <w:bookmarkEnd w:id="12"/>
          </w:p>
        </w:tc>
        <w:tc>
          <w:tcPr>
            <w:tcW w:w="997" w:type="dxa"/>
            <w:shd w:val="clear" w:color="auto" w:fill="auto"/>
            <w:noWrap/>
            <w:vAlign w:val="center"/>
          </w:tcPr>
          <w:p w14:paraId="4853D9DB">
            <w:pPr>
              <w:pStyle w:val="22"/>
              <w:spacing w:line="0" w:lineRule="atLeast"/>
              <w:ind w:left="113"/>
              <w:jc w:val="center"/>
              <w:rPr>
                <w:rFonts w:hint="eastAsia" w:cs="Times New Roman" w:asciiTheme="minorEastAsia" w:hAnsiTheme="minorEastAsia" w:eastAsiaTheme="minorEastAsia"/>
                <w:color w:val="auto"/>
                <w:sz w:val="21"/>
                <w:szCs w:val="21"/>
                <w:highlight w:val="none"/>
                <w:lang w:eastAsia="zh-CN"/>
              </w:rPr>
            </w:pPr>
            <w:r>
              <w:rPr>
                <w:rFonts w:hint="eastAsia" w:cs="Times New Roman" w:asciiTheme="minorEastAsia" w:hAnsiTheme="minorEastAsia" w:eastAsiaTheme="minorEastAsia"/>
                <w:color w:val="auto"/>
                <w:sz w:val="21"/>
                <w:szCs w:val="21"/>
                <w:highlight w:val="none"/>
                <w:lang w:eastAsia="zh-CN"/>
              </w:rPr>
              <w:t>100%</w:t>
            </w:r>
          </w:p>
        </w:tc>
        <w:tc>
          <w:tcPr>
            <w:tcW w:w="1774" w:type="dxa"/>
            <w:gridSpan w:val="2"/>
            <w:shd w:val="clear" w:color="auto" w:fill="auto"/>
            <w:noWrap/>
            <w:vAlign w:val="center"/>
          </w:tcPr>
          <w:p w14:paraId="53D98C3C">
            <w:pPr>
              <w:pStyle w:val="22"/>
              <w:spacing w:line="0" w:lineRule="atLeast"/>
              <w:ind w:left="113"/>
              <w:jc w:val="center"/>
              <w:rPr>
                <w:rFonts w:hint="eastAsia" w:cs="Times New Roman" w:asciiTheme="minorEastAsia" w:hAnsiTheme="minorEastAsia" w:eastAsiaTheme="minorEastAsia"/>
                <w:color w:val="auto"/>
                <w:sz w:val="21"/>
                <w:szCs w:val="21"/>
                <w:highlight w:val="none"/>
              </w:rPr>
            </w:pPr>
          </w:p>
        </w:tc>
        <w:tc>
          <w:tcPr>
            <w:tcW w:w="962" w:type="dxa"/>
            <w:gridSpan w:val="2"/>
            <w:shd w:val="clear" w:color="auto" w:fill="auto"/>
            <w:noWrap/>
            <w:vAlign w:val="center"/>
          </w:tcPr>
          <w:p w14:paraId="5BE5C64B">
            <w:pPr>
              <w:pStyle w:val="22"/>
              <w:spacing w:line="0" w:lineRule="atLeast"/>
              <w:ind w:left="113"/>
              <w:jc w:val="center"/>
              <w:rPr>
                <w:rFonts w:hint="eastAsia" w:cs="Times New Roman" w:asciiTheme="minorEastAsia" w:hAnsiTheme="minorEastAsia" w:eastAsiaTheme="minorEastAsia"/>
                <w:color w:val="auto"/>
                <w:sz w:val="21"/>
                <w:szCs w:val="21"/>
                <w:highlight w:val="none"/>
              </w:rPr>
            </w:pPr>
          </w:p>
        </w:tc>
      </w:tr>
      <w:tr w14:paraId="34F668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trPr>
        <w:tc>
          <w:tcPr>
            <w:tcW w:w="2376" w:type="dxa"/>
            <w:shd w:val="clear" w:color="auto" w:fill="auto"/>
            <w:noWrap/>
            <w:vAlign w:val="center"/>
          </w:tcPr>
          <w:p w14:paraId="0AE7EDA2">
            <w:pPr>
              <w:pStyle w:val="22"/>
              <w:spacing w:line="0" w:lineRule="atLeast"/>
              <w:ind w:left="113"/>
              <w:jc w:val="center"/>
              <w:rPr>
                <w:rFonts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废料处理</w:t>
            </w:r>
          </w:p>
        </w:tc>
        <w:tc>
          <w:tcPr>
            <w:tcW w:w="2268" w:type="dxa"/>
            <w:shd w:val="clear" w:color="auto" w:fill="auto"/>
            <w:noWrap/>
            <w:vAlign w:val="center"/>
          </w:tcPr>
          <w:p w14:paraId="7E941845">
            <w:pPr>
              <w:pStyle w:val="22"/>
              <w:spacing w:line="0" w:lineRule="atLeast"/>
              <w:ind w:left="113"/>
              <w:jc w:val="center"/>
              <w:rPr>
                <w:rFonts w:hint="eastAsia" w:cs="Times New Roman" w:asciiTheme="minorEastAsia" w:hAnsiTheme="minorEastAsia" w:eastAsiaTheme="minorEastAsia"/>
                <w:color w:val="auto"/>
                <w:sz w:val="21"/>
                <w:szCs w:val="21"/>
                <w:highlight w:val="none"/>
                <w:lang w:eastAsia="zh-CN"/>
              </w:rPr>
            </w:pPr>
            <w:r>
              <w:rPr>
                <w:rFonts w:hint="eastAsia" w:cs="Times New Roman" w:asciiTheme="minorEastAsia" w:hAnsiTheme="minorEastAsia" w:eastAsiaTheme="minorEastAsia"/>
                <w:color w:val="auto"/>
                <w:sz w:val="21"/>
                <w:szCs w:val="21"/>
                <w:highlight w:val="none"/>
                <w:lang w:eastAsia="zh-CN"/>
              </w:rPr>
              <w:t>0</w:t>
            </w:r>
          </w:p>
        </w:tc>
        <w:tc>
          <w:tcPr>
            <w:tcW w:w="997" w:type="dxa"/>
            <w:shd w:val="clear" w:color="auto" w:fill="auto"/>
            <w:noWrap/>
            <w:vAlign w:val="center"/>
          </w:tcPr>
          <w:p w14:paraId="127406A8">
            <w:pPr>
              <w:pStyle w:val="22"/>
              <w:spacing w:line="0" w:lineRule="atLeast"/>
              <w:ind w:left="113"/>
              <w:jc w:val="center"/>
              <w:rPr>
                <w:rFonts w:hint="eastAsia" w:cs="Times New Roman" w:asciiTheme="minorEastAsia" w:hAnsiTheme="minorEastAsia" w:eastAsiaTheme="minorEastAsia"/>
                <w:color w:val="auto"/>
                <w:sz w:val="21"/>
                <w:szCs w:val="21"/>
                <w:highlight w:val="none"/>
                <w:lang w:eastAsia="zh-CN"/>
              </w:rPr>
            </w:pPr>
            <w:r>
              <w:rPr>
                <w:rFonts w:hint="eastAsia" w:cs="Times New Roman" w:asciiTheme="minorEastAsia" w:hAnsiTheme="minorEastAsia" w:eastAsiaTheme="minorEastAsia"/>
                <w:color w:val="auto"/>
                <w:sz w:val="21"/>
                <w:szCs w:val="21"/>
                <w:highlight w:val="none"/>
                <w:lang w:eastAsia="zh-CN"/>
              </w:rPr>
              <w:t>0</w:t>
            </w:r>
          </w:p>
        </w:tc>
        <w:tc>
          <w:tcPr>
            <w:tcW w:w="1774" w:type="dxa"/>
            <w:gridSpan w:val="2"/>
            <w:shd w:val="clear" w:color="auto" w:fill="auto"/>
            <w:noWrap/>
            <w:vAlign w:val="center"/>
          </w:tcPr>
          <w:p w14:paraId="08300A9D">
            <w:pPr>
              <w:pStyle w:val="22"/>
              <w:spacing w:line="0" w:lineRule="atLeast"/>
              <w:ind w:left="113"/>
              <w:jc w:val="center"/>
              <w:rPr>
                <w:rFonts w:hint="eastAsia" w:cs="Times New Roman" w:asciiTheme="minorEastAsia" w:hAnsiTheme="minorEastAsia" w:eastAsiaTheme="minorEastAsia"/>
                <w:color w:val="auto"/>
                <w:sz w:val="21"/>
                <w:szCs w:val="21"/>
                <w:highlight w:val="none"/>
              </w:rPr>
            </w:pPr>
          </w:p>
        </w:tc>
        <w:tc>
          <w:tcPr>
            <w:tcW w:w="962" w:type="dxa"/>
            <w:gridSpan w:val="2"/>
            <w:shd w:val="clear" w:color="auto" w:fill="auto"/>
            <w:noWrap/>
            <w:vAlign w:val="center"/>
          </w:tcPr>
          <w:p w14:paraId="3613E9A0">
            <w:pPr>
              <w:pStyle w:val="22"/>
              <w:spacing w:line="0" w:lineRule="atLeast"/>
              <w:ind w:left="113"/>
              <w:jc w:val="center"/>
              <w:rPr>
                <w:rFonts w:hint="eastAsia" w:cs="Times New Roman" w:asciiTheme="minorEastAsia" w:hAnsiTheme="minorEastAsia" w:eastAsiaTheme="minorEastAsia"/>
                <w:color w:val="auto"/>
                <w:sz w:val="21"/>
                <w:szCs w:val="21"/>
                <w:highlight w:val="none"/>
              </w:rPr>
            </w:pPr>
          </w:p>
        </w:tc>
      </w:tr>
    </w:tbl>
    <w:p w14:paraId="6C18C998">
      <w:pPr>
        <w:spacing w:line="500" w:lineRule="exact"/>
        <w:jc w:val="left"/>
        <w:rPr>
          <w:rFonts w:hint="eastAsia" w:ascii="宋体" w:hAnsi="宋体"/>
          <w:b/>
          <w:sz w:val="28"/>
          <w:szCs w:val="28"/>
        </w:rPr>
      </w:pPr>
      <w:r>
        <w:rPr>
          <w:rFonts w:hint="eastAsia" w:ascii="宋体" w:hAnsi="宋体"/>
          <w:b/>
          <w:sz w:val="28"/>
          <w:szCs w:val="28"/>
        </w:rPr>
        <w:t>四、 结论</w:t>
      </w:r>
    </w:p>
    <w:p w14:paraId="0DFAB5A5">
      <w:pPr>
        <w:spacing w:line="400" w:lineRule="exact"/>
        <w:ind w:firstLine="315" w:firstLineChars="15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t>1、铸造铝合金产品</w:t>
      </w:r>
    </w:p>
    <w:p w14:paraId="6617444B">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t>（1）铸造铝合金产品的生命周期对环境的影响主要集中在制造工艺中，我公司铸造铝合金产品对生产过程对气候变化和生态毒性方面影响较小。</w:t>
      </w:r>
    </w:p>
    <w:p w14:paraId="25A3EAC8">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t>（2）两种处置方式对环境影响：废料重熔＞废弃物回收提炼。</w:t>
      </w:r>
    </w:p>
    <w:p w14:paraId="1C72C5F6">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t>（3）处置阶段选用再生处置方式可降低铸造铝合金产品的全生命周期环境影响，进一步降低其环境影响的方式为新能源的使用，减少天然气的使用。</w:t>
      </w:r>
    </w:p>
    <w:p w14:paraId="7A2136E5">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t>（4）影响二氧化碳排放量的主要过程为铸造铝合金产品加工过程。公司采取了多项减排措施，其中主要的两项措施如下：</w:t>
      </w:r>
    </w:p>
    <w:p w14:paraId="6743E8CC">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t xml:space="preserve"> ①通过绿色产品研发，优化原料配比或实现替代、调整工艺参数等方式，尽量减少所使用原辅材料的种类，以便于产品被废弃后的回收利用，从而减少后续回收利用的工序步骤产生的能源消耗和二氧化碳排放；</w:t>
      </w:r>
    </w:p>
    <w:p w14:paraId="3346D2D2">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t>②实施碳减排技术。公司目前产生的二氧化碳主要来源于电力、天然气等能源的使用，计划通过一系列节能技术改造，来减少电力、天然气的使用以间接减少温室气体的排放；</w:t>
      </w:r>
    </w:p>
    <w:p w14:paraId="3F128DAB">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t>③通过加大对废料的回收利用，有效降低本产品前端和后端的碳排放量。</w:t>
      </w:r>
    </w:p>
    <w:p w14:paraId="45D1A89F">
      <w:pPr>
        <w:spacing w:line="400" w:lineRule="exact"/>
        <w:ind w:firstLine="420" w:firstLineChars="200"/>
        <w:jc w:val="left"/>
        <w:rPr>
          <w:rFonts w:hint="eastAsia" w:ascii="Times New Roman" w:hAnsi="Times New Roman" w:eastAsia="宋体" w:cs="Times New Roman"/>
          <w:color w:val="000000" w:themeColor="text1"/>
          <w:szCs w:val="24"/>
          <w:highlight w:val="none"/>
          <w:lang w:eastAsia="zh-CN"/>
        </w:rPr>
      </w:pPr>
      <w:r>
        <w:rPr>
          <w:rFonts w:hint="eastAsia" w:ascii="Times New Roman" w:hAnsi="Times New Roman" w:eastAsia="宋体" w:cs="Times New Roman"/>
          <w:color w:val="000000" w:themeColor="text1"/>
          <w:szCs w:val="24"/>
          <w:highlight w:val="none"/>
        </w:rPr>
        <w:t>（5）铸造铝合金产品供应商正在逐步加再生铝的使用比例</w:t>
      </w:r>
      <w:r>
        <w:rPr>
          <w:rFonts w:hint="eastAsia" w:ascii="Times New Roman" w:hAnsi="Times New Roman" w:eastAsia="宋体" w:cs="Times New Roman"/>
          <w:color w:val="000000" w:themeColor="text1"/>
          <w:szCs w:val="24"/>
          <w:highlight w:val="none"/>
          <w:lang w:eastAsia="zh-CN"/>
        </w:rPr>
        <w:t>。</w:t>
      </w:r>
    </w:p>
    <w:p w14:paraId="173EAAE4">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t>2、公司通过优化设备，在生产过程中减少废气、废水的排放，提升生产效率及以下行动方案：</w:t>
      </w:r>
    </w:p>
    <w:p w14:paraId="5A2E991C">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sym w:font="Wingdings" w:char="F06C"/>
      </w:r>
      <w:r>
        <w:rPr>
          <w:rFonts w:hint="eastAsia" w:ascii="Times New Roman" w:hAnsi="Times New Roman" w:eastAsia="宋体" w:cs="Times New Roman"/>
          <w:color w:val="000000" w:themeColor="text1"/>
          <w:szCs w:val="24"/>
        </w:rPr>
        <w:t>可再生能源</w:t>
      </w:r>
      <w:r>
        <w:rPr>
          <w:rFonts w:ascii="Times New Roman" w:hAnsi="Times New Roman" w:eastAsia="宋体" w:cs="Times New Roman"/>
          <w:color w:val="000000" w:themeColor="text1"/>
          <w:szCs w:val="24"/>
        </w:rPr>
        <w:t>&amp;</w:t>
      </w:r>
      <w:r>
        <w:rPr>
          <w:rFonts w:hint="eastAsia" w:ascii="Times New Roman" w:hAnsi="Times New Roman" w:eastAsia="宋体" w:cs="Times New Roman"/>
          <w:color w:val="000000" w:themeColor="text1"/>
          <w:szCs w:val="24"/>
        </w:rPr>
        <w:t>清洁能源</w:t>
      </w:r>
    </w:p>
    <w:p w14:paraId="48B4AE6C">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sym w:font="Wingdings" w:char="F06C"/>
      </w:r>
      <w:r>
        <w:rPr>
          <w:rFonts w:hint="eastAsia" w:ascii="Times New Roman" w:hAnsi="Times New Roman" w:eastAsia="宋体" w:cs="Times New Roman"/>
          <w:color w:val="000000" w:themeColor="text1"/>
          <w:szCs w:val="24"/>
        </w:rPr>
        <w:t>设备工艺优化</w:t>
      </w:r>
      <w:r>
        <w:rPr>
          <w:rFonts w:ascii="Times New Roman" w:hAnsi="Times New Roman" w:eastAsia="宋体" w:cs="Times New Roman"/>
          <w:color w:val="000000" w:themeColor="text1"/>
          <w:szCs w:val="24"/>
        </w:rPr>
        <w:t>&amp;</w:t>
      </w:r>
      <w:r>
        <w:rPr>
          <w:rFonts w:hint="eastAsia" w:ascii="Times New Roman" w:hAnsi="Times New Roman" w:eastAsia="宋体" w:cs="Times New Roman"/>
          <w:color w:val="000000" w:themeColor="text1"/>
          <w:szCs w:val="24"/>
        </w:rPr>
        <w:t>能源效率</w:t>
      </w:r>
    </w:p>
    <w:p w14:paraId="56944A9C">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sym w:font="Wingdings" w:char="F06C"/>
      </w:r>
      <w:r>
        <w:rPr>
          <w:rFonts w:hint="eastAsia" w:ascii="Times New Roman" w:hAnsi="Times New Roman" w:eastAsia="宋体" w:cs="Times New Roman"/>
          <w:color w:val="000000" w:themeColor="text1"/>
          <w:szCs w:val="24"/>
        </w:rPr>
        <w:t>优化运输方案（布局优化，减少物料周转，提升装载量等）</w:t>
      </w:r>
    </w:p>
    <w:p w14:paraId="11FF39A9">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sym w:font="Wingdings" w:char="F06C"/>
      </w:r>
      <w:r>
        <w:rPr>
          <w:rFonts w:hint="eastAsia" w:ascii="Times New Roman" w:hAnsi="Times New Roman" w:eastAsia="宋体" w:cs="Times New Roman"/>
          <w:color w:val="000000" w:themeColor="text1"/>
          <w:szCs w:val="24"/>
        </w:rPr>
        <w:t>减少废物</w:t>
      </w:r>
    </w:p>
    <w:p w14:paraId="0753CCF5">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sym w:font="Wingdings" w:char="F06C"/>
      </w:r>
      <w:r>
        <w:rPr>
          <w:rFonts w:hint="eastAsia" w:ascii="Times New Roman" w:hAnsi="Times New Roman" w:eastAsia="宋体" w:cs="Times New Roman"/>
          <w:color w:val="000000" w:themeColor="text1"/>
          <w:szCs w:val="24"/>
        </w:rPr>
        <w:t>循环包装</w:t>
      </w:r>
    </w:p>
    <w:p w14:paraId="34EA8E33">
      <w:pPr>
        <w:spacing w:line="400" w:lineRule="exact"/>
        <w:ind w:firstLine="420" w:firstLineChars="200"/>
        <w:jc w:val="left"/>
        <w:rPr>
          <w:rFonts w:ascii="Times New Roman" w:hAnsi="Times New Roman" w:eastAsia="宋体" w:cs="Times New Roman"/>
          <w:color w:val="000000" w:themeColor="text1"/>
          <w:szCs w:val="24"/>
        </w:rPr>
      </w:pPr>
      <w:r>
        <w:rPr>
          <w:rFonts w:hint="eastAsia" w:ascii="Times New Roman" w:hAnsi="Times New Roman" w:eastAsia="宋体" w:cs="Times New Roman"/>
          <w:color w:val="000000" w:themeColor="text1"/>
          <w:szCs w:val="24"/>
        </w:rPr>
        <w:sym w:font="Wingdings" w:char="F06C"/>
      </w:r>
      <w:r>
        <w:rPr>
          <w:rFonts w:hint="eastAsia" w:ascii="Times New Roman" w:hAnsi="Times New Roman" w:eastAsia="宋体" w:cs="Times New Roman"/>
          <w:color w:val="000000" w:themeColor="text1"/>
          <w:szCs w:val="24"/>
        </w:rPr>
        <w:t>减少水消耗</w:t>
      </w:r>
      <w:bookmarkStart w:id="11" w:name="_Toc13810"/>
    </w:p>
    <w:p w14:paraId="255E0109">
      <w:pPr>
        <w:spacing w:line="500" w:lineRule="exact"/>
        <w:jc w:val="left"/>
        <w:rPr>
          <w:rFonts w:hint="eastAsia" w:ascii="宋体" w:hAnsi="宋体"/>
          <w:sz w:val="28"/>
          <w:szCs w:val="28"/>
          <w:highlight w:val="none"/>
        </w:rPr>
      </w:pPr>
      <w:r>
        <w:rPr>
          <w:rFonts w:ascii="宋体" w:hAnsi="宋体"/>
          <w:sz w:val="28"/>
          <w:szCs w:val="28"/>
          <w:highlight w:val="none"/>
        </w:rPr>
        <w:t>参考文献</w:t>
      </w:r>
      <w:bookmarkEnd w:id="11"/>
    </w:p>
    <w:p w14:paraId="225A8D30">
      <w:pPr>
        <w:spacing w:line="276" w:lineRule="auto"/>
        <w:ind w:left="315" w:hanging="315" w:hangingChars="150"/>
        <w:rPr>
          <w:rFonts w:ascii="Times New Roman" w:hAnsi="Times New Roman" w:eastAsia="宋体" w:cs="Times New Roman"/>
          <w:highlight w:val="none"/>
        </w:rPr>
      </w:pPr>
      <w:r>
        <w:rPr>
          <w:rFonts w:ascii="Times New Roman" w:hAnsi="Times New Roman" w:eastAsia="宋体" w:cs="Times New Roman"/>
          <w:highlight w:val="none"/>
        </w:rPr>
        <w:t>[1] ISO/TC 207/SC 5.2006. ISO14040:2006 Environmental management – Life cycle assessment–Principles and framework. International Organisation for Standardisation (ISO) [S].</w:t>
      </w:r>
    </w:p>
    <w:p w14:paraId="06E738E4">
      <w:pPr>
        <w:spacing w:line="276" w:lineRule="auto"/>
        <w:ind w:left="315" w:hanging="315" w:hangingChars="150"/>
        <w:rPr>
          <w:rFonts w:ascii="Times New Roman" w:hAnsi="Times New Roman" w:eastAsia="宋体" w:cs="Times New Roman"/>
          <w:highlight w:val="none"/>
        </w:rPr>
      </w:pPr>
      <w:r>
        <w:rPr>
          <w:rFonts w:ascii="Times New Roman" w:hAnsi="Times New Roman" w:eastAsia="宋体" w:cs="Times New Roman"/>
          <w:highlight w:val="none"/>
        </w:rPr>
        <w:t>[2] GB/T 24040-2008. 环境管理生命周期评价原则与框架[S].中华人民共和国国家质量监督检验检疫总局, 中国国家标准化管理委员会. 2008.</w:t>
      </w:r>
    </w:p>
    <w:p w14:paraId="6F7E3D1F">
      <w:pPr>
        <w:spacing w:line="276" w:lineRule="auto"/>
        <w:ind w:left="315" w:hanging="315" w:hangingChars="150"/>
        <w:rPr>
          <w:rFonts w:ascii="Times New Roman" w:hAnsi="Times New Roman" w:eastAsia="宋体" w:cs="Times New Roman"/>
          <w:highlight w:val="none"/>
        </w:rPr>
      </w:pPr>
      <w:r>
        <w:rPr>
          <w:rFonts w:ascii="Times New Roman" w:hAnsi="Times New Roman" w:eastAsia="宋体" w:cs="Times New Roman"/>
          <w:highlight w:val="none"/>
        </w:rPr>
        <w:t>[3] 郑秀君, 胡彬. 我国生命周期评价(LCA)文献综述及国外最新研究进展[J]. 科技进步与对策, 2013, 30 (6):155-160.</w:t>
      </w:r>
    </w:p>
    <w:p w14:paraId="58FBB43D">
      <w:pPr>
        <w:pStyle w:val="4"/>
        <w:jc w:val="both"/>
        <w:rPr>
          <w:rFonts w:ascii="Times New Roman" w:hAnsi="Times New Roman" w:eastAsia="宋体" w:cs="Times New Roman"/>
          <w:highlight w:val="none"/>
        </w:rPr>
      </w:pPr>
      <w:r>
        <w:rPr>
          <w:rFonts w:ascii="Times New Roman" w:hAnsi="Times New Roman" w:eastAsia="宋体" w:cs="Times New Roman"/>
          <w:highlight w:val="none"/>
        </w:rPr>
        <w:t>[4] 雷兆武, 薛冰, 王洪涛. 清洁生产与循环经济[M].化学工业出版社,2017,9:131-132.</w:t>
      </w:r>
    </w:p>
    <w:p w14:paraId="4B3E6A3E">
      <w:pPr>
        <w:spacing w:line="337" w:lineRule="auto"/>
      </w:pPr>
    </w:p>
    <w:p w14:paraId="347E9D72">
      <w:pPr>
        <w:pStyle w:val="5"/>
        <w:spacing w:before="245" w:line="225" w:lineRule="auto"/>
        <w:ind w:left="229" w:leftChars="-508" w:hanging="1296" w:hangingChars="463"/>
        <w:rPr>
          <w:rFonts w:hint="eastAsia" w:ascii="宋体" w:hAnsi="宋体" w:eastAsiaTheme="minorEastAsia" w:cstheme="minorBidi"/>
          <w:sz w:val="28"/>
          <w:szCs w:val="28"/>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701"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Times New Roman Regular">
    <w:altName w:val="Times New Roman"/>
    <w:panose1 w:val="00000000000000000000"/>
    <w:charset w:val="00"/>
    <w:family w:val="auto"/>
    <w:pitch w:val="default"/>
    <w:sig w:usb0="00000000" w:usb1="00000000" w:usb2="00000000" w:usb3="00000000" w:csb0="00040001"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DEB2E3">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87F6C3">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5E0C33">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F94555">
    <w:pPr>
      <w:pStyle w:val="8"/>
    </w:pPr>
  </w:p>
  <w:p w14:paraId="06CF012C">
    <w:pPr>
      <w:pStyle w:val="8"/>
    </w:pPr>
  </w:p>
  <w:p w14:paraId="3C33A9C3">
    <w:pPr>
      <w:pStyle w:val="8"/>
      <w:rPr>
        <w:rFonts w:hint="eastAsia"/>
      </w:rPr>
    </w:pPr>
    <w:r>
      <w:rPr>
        <w:rFonts w:hint="eastAsia"/>
      </w:rPr>
      <w:t xml:space="preserve">                                                        文件编号： </w:t>
    </w:r>
    <w:r>
      <w:rPr>
        <w:rFonts w:hint="eastAsia" w:ascii="Arial" w:hAnsi="Arial" w:cs="Arial"/>
        <w:bCs/>
        <w:szCs w:val="16"/>
      </w:rPr>
      <w:t>B01-JL11</w:t>
    </w:r>
    <w:r>
      <w:rPr>
        <w:rFonts w:hint="eastAsia"/>
        <w:sz w:val="11"/>
        <w:szCs w:val="16"/>
      </w:rPr>
      <w:t xml:space="preserve"> </w:t>
    </w:r>
    <w:r>
      <w:rPr>
        <w:rFonts w:hint="eastAsia"/>
      </w:rPr>
      <w:t xml:space="preserve">    版本：A0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72AFA4">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D86FB4">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825C05"/>
    <w:multiLevelType w:val="multilevel"/>
    <w:tmpl w:val="06825C05"/>
    <w:lvl w:ilvl="0" w:tentative="0">
      <w:start w:val="4"/>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7C3FE52"/>
    <w:multiLevelType w:val="multilevel"/>
    <w:tmpl w:val="57C3FE52"/>
    <w:lvl w:ilvl="0" w:tentative="0">
      <w:start w:val="1"/>
      <w:numFmt w:val="decimal"/>
      <w:pStyle w:val="23"/>
      <w:lvlText w:val="%1."/>
      <w:lvlJc w:val="left"/>
      <w:pPr>
        <w:ind w:left="425" w:hanging="425"/>
      </w:pPr>
      <w:rPr>
        <w:rFonts w:hint="default"/>
      </w:rPr>
    </w:lvl>
    <w:lvl w:ilvl="1" w:tentative="0">
      <w:start w:val="1"/>
      <w:numFmt w:val="decimal"/>
      <w:pStyle w:val="24"/>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2">
    <w:nsid w:val="5DE435E0"/>
    <w:multiLevelType w:val="multilevel"/>
    <w:tmpl w:val="5DE435E0"/>
    <w:lvl w:ilvl="0" w:tentative="0">
      <w:start w:val="1"/>
      <w:numFmt w:val="decimal"/>
      <w:pStyle w:val="26"/>
      <w:lvlText w:val="（%1）"/>
      <w:lvlJc w:val="left"/>
      <w:pPr>
        <w:ind w:left="720" w:hanging="7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2VmYjM2MjZhYWQxNDkxYWRkNzk2M2Y1MjlkOGViMGEifQ=="/>
  </w:docVars>
  <w:rsids>
    <w:rsidRoot w:val="00172A27"/>
    <w:rsid w:val="0000162C"/>
    <w:rsid w:val="000204F5"/>
    <w:rsid w:val="00026EF2"/>
    <w:rsid w:val="000272E8"/>
    <w:rsid w:val="00044137"/>
    <w:rsid w:val="00050746"/>
    <w:rsid w:val="00057C5C"/>
    <w:rsid w:val="000658B8"/>
    <w:rsid w:val="00086C1A"/>
    <w:rsid w:val="000931CD"/>
    <w:rsid w:val="000D098D"/>
    <w:rsid w:val="000D6FAD"/>
    <w:rsid w:val="000E0C7B"/>
    <w:rsid w:val="00172A27"/>
    <w:rsid w:val="0017586F"/>
    <w:rsid w:val="00197483"/>
    <w:rsid w:val="001B6DFA"/>
    <w:rsid w:val="001C7DA2"/>
    <w:rsid w:val="0023191B"/>
    <w:rsid w:val="00241FBA"/>
    <w:rsid w:val="00280186"/>
    <w:rsid w:val="002F23CC"/>
    <w:rsid w:val="003004E2"/>
    <w:rsid w:val="00353B2B"/>
    <w:rsid w:val="0036587F"/>
    <w:rsid w:val="00383C62"/>
    <w:rsid w:val="003A22FC"/>
    <w:rsid w:val="003A309F"/>
    <w:rsid w:val="003C51D7"/>
    <w:rsid w:val="003F2FB5"/>
    <w:rsid w:val="004033D2"/>
    <w:rsid w:val="00422007"/>
    <w:rsid w:val="00463C00"/>
    <w:rsid w:val="004803C5"/>
    <w:rsid w:val="004874D5"/>
    <w:rsid w:val="00492E18"/>
    <w:rsid w:val="00496C04"/>
    <w:rsid w:val="004A29BB"/>
    <w:rsid w:val="004A687E"/>
    <w:rsid w:val="004C0323"/>
    <w:rsid w:val="004F30B2"/>
    <w:rsid w:val="004F5159"/>
    <w:rsid w:val="0050415D"/>
    <w:rsid w:val="005057EA"/>
    <w:rsid w:val="005168A7"/>
    <w:rsid w:val="005534A2"/>
    <w:rsid w:val="005673A7"/>
    <w:rsid w:val="00593D53"/>
    <w:rsid w:val="005A007E"/>
    <w:rsid w:val="005E65D7"/>
    <w:rsid w:val="005F42B6"/>
    <w:rsid w:val="005F7571"/>
    <w:rsid w:val="00612556"/>
    <w:rsid w:val="006223A1"/>
    <w:rsid w:val="006271A8"/>
    <w:rsid w:val="00640FA4"/>
    <w:rsid w:val="00646FF4"/>
    <w:rsid w:val="006539DA"/>
    <w:rsid w:val="006F0455"/>
    <w:rsid w:val="00701797"/>
    <w:rsid w:val="007101BD"/>
    <w:rsid w:val="007203BA"/>
    <w:rsid w:val="00737008"/>
    <w:rsid w:val="00746D74"/>
    <w:rsid w:val="00765084"/>
    <w:rsid w:val="007A2F57"/>
    <w:rsid w:val="007B4DBE"/>
    <w:rsid w:val="007F70D7"/>
    <w:rsid w:val="0081136F"/>
    <w:rsid w:val="00830408"/>
    <w:rsid w:val="00845F2C"/>
    <w:rsid w:val="00855F55"/>
    <w:rsid w:val="00870DA5"/>
    <w:rsid w:val="008B36D7"/>
    <w:rsid w:val="008D16B9"/>
    <w:rsid w:val="008F658C"/>
    <w:rsid w:val="0096034E"/>
    <w:rsid w:val="0098639F"/>
    <w:rsid w:val="009F2768"/>
    <w:rsid w:val="00A60CA1"/>
    <w:rsid w:val="00A65431"/>
    <w:rsid w:val="00A96E13"/>
    <w:rsid w:val="00AE3A41"/>
    <w:rsid w:val="00B00DCA"/>
    <w:rsid w:val="00B05BB8"/>
    <w:rsid w:val="00B64E5C"/>
    <w:rsid w:val="00BA1F3D"/>
    <w:rsid w:val="00BC5B17"/>
    <w:rsid w:val="00C1653D"/>
    <w:rsid w:val="00C220FB"/>
    <w:rsid w:val="00C42568"/>
    <w:rsid w:val="00C55C1E"/>
    <w:rsid w:val="00C96D5D"/>
    <w:rsid w:val="00CB5FBC"/>
    <w:rsid w:val="00CC6C98"/>
    <w:rsid w:val="00D02E3F"/>
    <w:rsid w:val="00D24A00"/>
    <w:rsid w:val="00D8509B"/>
    <w:rsid w:val="00DA3E04"/>
    <w:rsid w:val="00DA7E03"/>
    <w:rsid w:val="00DE269A"/>
    <w:rsid w:val="00E03222"/>
    <w:rsid w:val="00E60A9C"/>
    <w:rsid w:val="00EB4653"/>
    <w:rsid w:val="00EB76C6"/>
    <w:rsid w:val="00F71486"/>
    <w:rsid w:val="00F72E94"/>
    <w:rsid w:val="00F73475"/>
    <w:rsid w:val="03F92894"/>
    <w:rsid w:val="042934B3"/>
    <w:rsid w:val="04854128"/>
    <w:rsid w:val="053843E4"/>
    <w:rsid w:val="05832D5D"/>
    <w:rsid w:val="05A7632E"/>
    <w:rsid w:val="05D507F1"/>
    <w:rsid w:val="05EE467B"/>
    <w:rsid w:val="062E5196"/>
    <w:rsid w:val="06A92350"/>
    <w:rsid w:val="07E5385B"/>
    <w:rsid w:val="08381BDD"/>
    <w:rsid w:val="09031594"/>
    <w:rsid w:val="09B43A76"/>
    <w:rsid w:val="09E17252"/>
    <w:rsid w:val="09F71624"/>
    <w:rsid w:val="0A391C3C"/>
    <w:rsid w:val="0AFE3D2C"/>
    <w:rsid w:val="0B2226D0"/>
    <w:rsid w:val="0B845139"/>
    <w:rsid w:val="0BE1258C"/>
    <w:rsid w:val="0BEB46DC"/>
    <w:rsid w:val="0D4B2102"/>
    <w:rsid w:val="0D671F88"/>
    <w:rsid w:val="0DBC09BD"/>
    <w:rsid w:val="0E6B25E0"/>
    <w:rsid w:val="0EC95FCB"/>
    <w:rsid w:val="0EF20AC5"/>
    <w:rsid w:val="10461592"/>
    <w:rsid w:val="10795489"/>
    <w:rsid w:val="10B95885"/>
    <w:rsid w:val="10BC4BEC"/>
    <w:rsid w:val="114618BA"/>
    <w:rsid w:val="12543AB7"/>
    <w:rsid w:val="12655CC4"/>
    <w:rsid w:val="13A02D2C"/>
    <w:rsid w:val="13B4122E"/>
    <w:rsid w:val="13CC58CF"/>
    <w:rsid w:val="13E0137B"/>
    <w:rsid w:val="146C6EDB"/>
    <w:rsid w:val="14C30A80"/>
    <w:rsid w:val="14C447F8"/>
    <w:rsid w:val="157955E3"/>
    <w:rsid w:val="16D51F60"/>
    <w:rsid w:val="16F07B27"/>
    <w:rsid w:val="19020978"/>
    <w:rsid w:val="19143FA0"/>
    <w:rsid w:val="1A271AB1"/>
    <w:rsid w:val="1A3B37AF"/>
    <w:rsid w:val="1A750A6F"/>
    <w:rsid w:val="1AEA05DF"/>
    <w:rsid w:val="1B1D686F"/>
    <w:rsid w:val="1BD6553D"/>
    <w:rsid w:val="1BF30ED4"/>
    <w:rsid w:val="1C3F2B21"/>
    <w:rsid w:val="1C4F52EF"/>
    <w:rsid w:val="1CEB03D9"/>
    <w:rsid w:val="1DA90A2F"/>
    <w:rsid w:val="1E3D5D47"/>
    <w:rsid w:val="1E4F70C5"/>
    <w:rsid w:val="1E8F7C25"/>
    <w:rsid w:val="1EB51D82"/>
    <w:rsid w:val="1EBF3D51"/>
    <w:rsid w:val="1ED3045A"/>
    <w:rsid w:val="1EFF4DAB"/>
    <w:rsid w:val="1FFE32B4"/>
    <w:rsid w:val="208A4B48"/>
    <w:rsid w:val="20B16579"/>
    <w:rsid w:val="20CF4C51"/>
    <w:rsid w:val="215950FE"/>
    <w:rsid w:val="216D06F2"/>
    <w:rsid w:val="2181419D"/>
    <w:rsid w:val="222B4109"/>
    <w:rsid w:val="222D6F44"/>
    <w:rsid w:val="22D77F19"/>
    <w:rsid w:val="230E1B9C"/>
    <w:rsid w:val="23CE2F9E"/>
    <w:rsid w:val="244B2840"/>
    <w:rsid w:val="246A2114"/>
    <w:rsid w:val="261512B6"/>
    <w:rsid w:val="268838D8"/>
    <w:rsid w:val="29663B3A"/>
    <w:rsid w:val="29B42C36"/>
    <w:rsid w:val="29CB28B7"/>
    <w:rsid w:val="29F63376"/>
    <w:rsid w:val="2A4D7312"/>
    <w:rsid w:val="2B1971F4"/>
    <w:rsid w:val="2BAA42F0"/>
    <w:rsid w:val="2C7333ED"/>
    <w:rsid w:val="2CA80B9C"/>
    <w:rsid w:val="2D0637A8"/>
    <w:rsid w:val="2DA76D39"/>
    <w:rsid w:val="2EB93809"/>
    <w:rsid w:val="2EBF4557"/>
    <w:rsid w:val="2ECD6C74"/>
    <w:rsid w:val="2EED436F"/>
    <w:rsid w:val="2EEE6D2C"/>
    <w:rsid w:val="2F0567FE"/>
    <w:rsid w:val="30B579BF"/>
    <w:rsid w:val="31A43590"/>
    <w:rsid w:val="32566F80"/>
    <w:rsid w:val="32C1089D"/>
    <w:rsid w:val="32CB34CA"/>
    <w:rsid w:val="3344327C"/>
    <w:rsid w:val="34515C51"/>
    <w:rsid w:val="34831B82"/>
    <w:rsid w:val="34C5219B"/>
    <w:rsid w:val="358636D8"/>
    <w:rsid w:val="36653C36"/>
    <w:rsid w:val="36714388"/>
    <w:rsid w:val="36DA0180"/>
    <w:rsid w:val="37166CDE"/>
    <w:rsid w:val="395064D7"/>
    <w:rsid w:val="39550B5F"/>
    <w:rsid w:val="395A1359"/>
    <w:rsid w:val="397A3554"/>
    <w:rsid w:val="3A922B1F"/>
    <w:rsid w:val="3AEC222F"/>
    <w:rsid w:val="3BF75330"/>
    <w:rsid w:val="3C2D2B00"/>
    <w:rsid w:val="3DC16BD6"/>
    <w:rsid w:val="3DE03BA2"/>
    <w:rsid w:val="3E1877DF"/>
    <w:rsid w:val="3EB017C6"/>
    <w:rsid w:val="3FEE25A6"/>
    <w:rsid w:val="401A783F"/>
    <w:rsid w:val="40381A73"/>
    <w:rsid w:val="40B3559D"/>
    <w:rsid w:val="41D10C2E"/>
    <w:rsid w:val="41D40C2D"/>
    <w:rsid w:val="43050ED4"/>
    <w:rsid w:val="433B1FA6"/>
    <w:rsid w:val="43803E5D"/>
    <w:rsid w:val="438C45B0"/>
    <w:rsid w:val="44093E52"/>
    <w:rsid w:val="440C3942"/>
    <w:rsid w:val="44205EE9"/>
    <w:rsid w:val="44315157"/>
    <w:rsid w:val="44623562"/>
    <w:rsid w:val="453F30C2"/>
    <w:rsid w:val="458962C8"/>
    <w:rsid w:val="4590343C"/>
    <w:rsid w:val="467D28D5"/>
    <w:rsid w:val="46AB7443"/>
    <w:rsid w:val="46B34549"/>
    <w:rsid w:val="46F26477"/>
    <w:rsid w:val="46FA3F26"/>
    <w:rsid w:val="474D43C2"/>
    <w:rsid w:val="475B13E7"/>
    <w:rsid w:val="480F57AF"/>
    <w:rsid w:val="485209FF"/>
    <w:rsid w:val="48634156"/>
    <w:rsid w:val="48CE11C6"/>
    <w:rsid w:val="4918161B"/>
    <w:rsid w:val="4AE253FD"/>
    <w:rsid w:val="4D0E072B"/>
    <w:rsid w:val="4DA9351A"/>
    <w:rsid w:val="4DBD7A5B"/>
    <w:rsid w:val="4F0A6CD0"/>
    <w:rsid w:val="4FBB7739"/>
    <w:rsid w:val="4FE35B43"/>
    <w:rsid w:val="505C17AE"/>
    <w:rsid w:val="50D47596"/>
    <w:rsid w:val="50DB27BD"/>
    <w:rsid w:val="51826FF2"/>
    <w:rsid w:val="51AE6039"/>
    <w:rsid w:val="51E312FA"/>
    <w:rsid w:val="527E00CF"/>
    <w:rsid w:val="52B551A5"/>
    <w:rsid w:val="532637B0"/>
    <w:rsid w:val="53C22E43"/>
    <w:rsid w:val="549C1469"/>
    <w:rsid w:val="55D02A22"/>
    <w:rsid w:val="5621327D"/>
    <w:rsid w:val="56230072"/>
    <w:rsid w:val="56557327"/>
    <w:rsid w:val="56C360E3"/>
    <w:rsid w:val="56C37E91"/>
    <w:rsid w:val="56ED7603"/>
    <w:rsid w:val="57256D9D"/>
    <w:rsid w:val="57EA3B43"/>
    <w:rsid w:val="57F02454"/>
    <w:rsid w:val="57F81DBC"/>
    <w:rsid w:val="58092508"/>
    <w:rsid w:val="583919DC"/>
    <w:rsid w:val="583B7EFB"/>
    <w:rsid w:val="584A6390"/>
    <w:rsid w:val="58BA3013"/>
    <w:rsid w:val="59BB12F3"/>
    <w:rsid w:val="5A225816"/>
    <w:rsid w:val="5A2C3F9F"/>
    <w:rsid w:val="5A897643"/>
    <w:rsid w:val="5AC468CD"/>
    <w:rsid w:val="5AE25A86"/>
    <w:rsid w:val="5B5F03A4"/>
    <w:rsid w:val="5C142F3C"/>
    <w:rsid w:val="5C6B60E0"/>
    <w:rsid w:val="5CFC40FC"/>
    <w:rsid w:val="5D213B63"/>
    <w:rsid w:val="5DD60DF1"/>
    <w:rsid w:val="5DE77884"/>
    <w:rsid w:val="5F534BA3"/>
    <w:rsid w:val="5F725094"/>
    <w:rsid w:val="5FA97E40"/>
    <w:rsid w:val="5FBB3E50"/>
    <w:rsid w:val="5FFC4413"/>
    <w:rsid w:val="601C4AB5"/>
    <w:rsid w:val="603E67DA"/>
    <w:rsid w:val="60AC550C"/>
    <w:rsid w:val="60D809DC"/>
    <w:rsid w:val="616E6A18"/>
    <w:rsid w:val="62484753"/>
    <w:rsid w:val="626369CC"/>
    <w:rsid w:val="62A6202B"/>
    <w:rsid w:val="63A1155A"/>
    <w:rsid w:val="642024A4"/>
    <w:rsid w:val="64550130"/>
    <w:rsid w:val="65835EEC"/>
    <w:rsid w:val="65C82D60"/>
    <w:rsid w:val="67000C8D"/>
    <w:rsid w:val="670B255A"/>
    <w:rsid w:val="681D37DB"/>
    <w:rsid w:val="686552AA"/>
    <w:rsid w:val="68B97345"/>
    <w:rsid w:val="68DB3760"/>
    <w:rsid w:val="69140A20"/>
    <w:rsid w:val="69407A67"/>
    <w:rsid w:val="69B30239"/>
    <w:rsid w:val="69C53AC8"/>
    <w:rsid w:val="6A325601"/>
    <w:rsid w:val="6A7103B4"/>
    <w:rsid w:val="6A835E5D"/>
    <w:rsid w:val="6BA26852"/>
    <w:rsid w:val="6BAF3D96"/>
    <w:rsid w:val="6BE00013"/>
    <w:rsid w:val="6CBB59DF"/>
    <w:rsid w:val="6D853C9A"/>
    <w:rsid w:val="6DF777CB"/>
    <w:rsid w:val="6E001573"/>
    <w:rsid w:val="6E35746E"/>
    <w:rsid w:val="6E6164B5"/>
    <w:rsid w:val="6EA62AEE"/>
    <w:rsid w:val="6ECA3677"/>
    <w:rsid w:val="701B2694"/>
    <w:rsid w:val="7023779A"/>
    <w:rsid w:val="70447E3C"/>
    <w:rsid w:val="70467BAB"/>
    <w:rsid w:val="70477ABF"/>
    <w:rsid w:val="70BC3FC9"/>
    <w:rsid w:val="70EE1B56"/>
    <w:rsid w:val="716D6F1F"/>
    <w:rsid w:val="71724535"/>
    <w:rsid w:val="718304F0"/>
    <w:rsid w:val="72141A90"/>
    <w:rsid w:val="72D1172F"/>
    <w:rsid w:val="72F35CE0"/>
    <w:rsid w:val="73602CDF"/>
    <w:rsid w:val="74237D69"/>
    <w:rsid w:val="75363ACC"/>
    <w:rsid w:val="755D72AA"/>
    <w:rsid w:val="759E3B4B"/>
    <w:rsid w:val="75D21A46"/>
    <w:rsid w:val="75EA705F"/>
    <w:rsid w:val="76D474B3"/>
    <w:rsid w:val="77185FAF"/>
    <w:rsid w:val="771F6F0D"/>
    <w:rsid w:val="77BF5FFA"/>
    <w:rsid w:val="78331CEE"/>
    <w:rsid w:val="787212BF"/>
    <w:rsid w:val="78AF606F"/>
    <w:rsid w:val="78E51A91"/>
    <w:rsid w:val="7A236D15"/>
    <w:rsid w:val="7ACC2F08"/>
    <w:rsid w:val="7B564EC8"/>
    <w:rsid w:val="7BDA78A7"/>
    <w:rsid w:val="7BF30969"/>
    <w:rsid w:val="7C863167"/>
    <w:rsid w:val="7C9B5288"/>
    <w:rsid w:val="7CC66242"/>
    <w:rsid w:val="7D951CD7"/>
    <w:rsid w:val="7DBA34EC"/>
    <w:rsid w:val="7DBD2FDC"/>
    <w:rsid w:val="7DC139EE"/>
    <w:rsid w:val="7EA24DE2"/>
    <w:rsid w:val="7F5479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qFormat="1"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link w:val="18"/>
    <w:autoRedefine/>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3">
    <w:name w:val="heading 2"/>
    <w:basedOn w:val="1"/>
    <w:link w:val="19"/>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13">
    <w:name w:val="Default Paragraph Font"/>
    <w:semiHidden/>
    <w:unhideWhenUsed/>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4">
    <w:name w:val="annotation text"/>
    <w:basedOn w:val="1"/>
    <w:link w:val="34"/>
    <w:semiHidden/>
    <w:unhideWhenUsed/>
    <w:qFormat/>
    <w:uiPriority w:val="99"/>
    <w:pPr>
      <w:jc w:val="left"/>
    </w:pPr>
  </w:style>
  <w:style w:type="paragraph" w:styleId="5">
    <w:name w:val="Body Text"/>
    <w:basedOn w:val="1"/>
    <w:link w:val="20"/>
    <w:qFormat/>
    <w:uiPriority w:val="0"/>
    <w:pPr>
      <w:spacing w:after="120"/>
    </w:pPr>
    <w:rPr>
      <w:rFonts w:ascii="Times New Roman" w:hAnsi="Times New Roman" w:eastAsia="宋体" w:cs="Times New Roman"/>
      <w:szCs w:val="24"/>
    </w:rPr>
  </w:style>
  <w:style w:type="paragraph" w:styleId="6">
    <w:name w:val="Balloon Text"/>
    <w:basedOn w:val="1"/>
    <w:link w:val="16"/>
    <w:semiHidden/>
    <w:unhideWhenUsed/>
    <w:qFormat/>
    <w:uiPriority w:val="99"/>
    <w:rPr>
      <w:sz w:val="18"/>
      <w:szCs w:val="18"/>
    </w:rPr>
  </w:style>
  <w:style w:type="paragraph" w:styleId="7">
    <w:name w:val="footer"/>
    <w:basedOn w:val="1"/>
    <w:unhideWhenUsed/>
    <w:qFormat/>
    <w:uiPriority w:val="99"/>
    <w:pPr>
      <w:tabs>
        <w:tab w:val="center" w:pos="4153"/>
        <w:tab w:val="right" w:pos="8306"/>
      </w:tabs>
      <w:snapToGrid w:val="0"/>
      <w:jc w:val="left"/>
    </w:pPr>
    <w:rPr>
      <w:sz w:val="18"/>
    </w:rPr>
  </w:style>
  <w:style w:type="paragraph" w:styleId="8">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1">
    <w:name w:val="Table Grid"/>
    <w:basedOn w:val="1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2">
    <w:name w:val="Light Shading Accent 2"/>
    <w:basedOn w:val="10"/>
    <w:qFormat/>
    <w:uiPriority w:val="60"/>
    <w:rPr>
      <w:color w:val="943734" w:themeColor="accent2" w:themeShade="BF"/>
    </w:rPr>
    <w:tblPr>
      <w:tblBorders>
        <w:top w:val="single" w:color="C0504D" w:themeColor="accent2" w:sz="8" w:space="0"/>
        <w:bottom w:val="single" w:color="C0504D" w:themeColor="accent2" w:sz="8" w:space="0"/>
      </w:tblBorders>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character" w:styleId="14">
    <w:name w:val="Strong"/>
    <w:basedOn w:val="13"/>
    <w:qFormat/>
    <w:uiPriority w:val="22"/>
    <w:rPr>
      <w:b/>
      <w:bCs/>
    </w:rPr>
  </w:style>
  <w:style w:type="character" w:styleId="15">
    <w:name w:val="Hyperlink"/>
    <w:basedOn w:val="13"/>
    <w:semiHidden/>
    <w:unhideWhenUsed/>
    <w:qFormat/>
    <w:uiPriority w:val="99"/>
    <w:rPr>
      <w:color w:val="0000FF"/>
      <w:u w:val="single"/>
    </w:rPr>
  </w:style>
  <w:style w:type="character" w:customStyle="1" w:styleId="16">
    <w:name w:val="批注框文本 字符"/>
    <w:basedOn w:val="13"/>
    <w:link w:val="6"/>
    <w:semiHidden/>
    <w:qFormat/>
    <w:uiPriority w:val="99"/>
    <w:rPr>
      <w:sz w:val="18"/>
      <w:szCs w:val="18"/>
    </w:rPr>
  </w:style>
  <w:style w:type="paragraph" w:styleId="17">
    <w:name w:val="List Paragraph"/>
    <w:basedOn w:val="1"/>
    <w:qFormat/>
    <w:uiPriority w:val="34"/>
    <w:pPr>
      <w:ind w:firstLine="420" w:firstLineChars="200"/>
    </w:pPr>
  </w:style>
  <w:style w:type="character" w:customStyle="1" w:styleId="18">
    <w:name w:val="标题 1 字符"/>
    <w:basedOn w:val="13"/>
    <w:link w:val="2"/>
    <w:autoRedefine/>
    <w:qFormat/>
    <w:uiPriority w:val="9"/>
    <w:rPr>
      <w:rFonts w:ascii="宋体" w:hAnsi="宋体" w:eastAsia="宋体" w:cs="宋体"/>
      <w:b/>
      <w:bCs/>
      <w:kern w:val="36"/>
      <w:sz w:val="48"/>
      <w:szCs w:val="48"/>
    </w:rPr>
  </w:style>
  <w:style w:type="character" w:customStyle="1" w:styleId="19">
    <w:name w:val="标题 2 字符"/>
    <w:basedOn w:val="13"/>
    <w:link w:val="3"/>
    <w:qFormat/>
    <w:uiPriority w:val="9"/>
    <w:rPr>
      <w:rFonts w:ascii="宋体" w:hAnsi="宋体" w:eastAsia="宋体" w:cs="宋体"/>
      <w:b/>
      <w:bCs/>
      <w:kern w:val="0"/>
      <w:sz w:val="36"/>
      <w:szCs w:val="36"/>
    </w:rPr>
  </w:style>
  <w:style w:type="character" w:customStyle="1" w:styleId="20">
    <w:name w:val="正文文本 字符"/>
    <w:basedOn w:val="13"/>
    <w:link w:val="5"/>
    <w:qFormat/>
    <w:uiPriority w:val="0"/>
    <w:rPr>
      <w:rFonts w:ascii="Times New Roman" w:hAnsi="Times New Roman" w:eastAsia="宋体" w:cs="Times New Roman"/>
      <w:szCs w:val="24"/>
    </w:rPr>
  </w:style>
  <w:style w:type="table" w:customStyle="1" w:styleId="21">
    <w:name w:val="Table Normal"/>
    <w:semiHidden/>
    <w:unhideWhenUsed/>
    <w:qFormat/>
    <w:uiPriority w:val="0"/>
    <w:rPr>
      <w:rFonts w:ascii="Arial" w:hAnsi="Arial" w:cs="Arial"/>
      <w:snapToGrid w:val="0"/>
      <w:color w:val="000000"/>
      <w:szCs w:val="21"/>
      <w:lang w:eastAsia="en-US"/>
    </w:rPr>
    <w:tblPr>
      <w:tblCellMar>
        <w:top w:w="0" w:type="dxa"/>
        <w:left w:w="0" w:type="dxa"/>
        <w:bottom w:w="0" w:type="dxa"/>
        <w:right w:w="0" w:type="dxa"/>
      </w:tblCellMar>
    </w:tblPr>
  </w:style>
  <w:style w:type="paragraph" w:customStyle="1" w:styleId="22">
    <w:name w:val="Table Text"/>
    <w:basedOn w:val="1"/>
    <w:semiHidden/>
    <w:qFormat/>
    <w:uiPriority w:val="0"/>
    <w:pPr>
      <w:widowControl/>
      <w:kinsoku w:val="0"/>
      <w:autoSpaceDE w:val="0"/>
      <w:autoSpaceDN w:val="0"/>
      <w:adjustRightInd w:val="0"/>
      <w:snapToGrid w:val="0"/>
      <w:jc w:val="left"/>
      <w:textAlignment w:val="baseline"/>
    </w:pPr>
    <w:rPr>
      <w:rFonts w:ascii="宋体" w:hAnsi="宋体" w:eastAsia="宋体" w:cs="宋体"/>
      <w:snapToGrid w:val="0"/>
      <w:color w:val="000000"/>
      <w:kern w:val="0"/>
      <w:sz w:val="18"/>
      <w:szCs w:val="18"/>
      <w:lang w:eastAsia="en-US"/>
    </w:rPr>
  </w:style>
  <w:style w:type="paragraph" w:customStyle="1" w:styleId="23">
    <w:name w:val="标题1"/>
    <w:basedOn w:val="1"/>
    <w:qFormat/>
    <w:uiPriority w:val="0"/>
    <w:pPr>
      <w:keepNext/>
      <w:widowControl/>
      <w:numPr>
        <w:ilvl w:val="0"/>
        <w:numId w:val="1"/>
      </w:numPr>
      <w:overflowPunct w:val="0"/>
      <w:autoSpaceDE w:val="0"/>
      <w:autoSpaceDN w:val="0"/>
      <w:spacing w:before="480" w:after="120" w:line="400" w:lineRule="exact"/>
      <w:outlineLvl w:val="0"/>
    </w:pPr>
    <w:rPr>
      <w:rFonts w:ascii="黑体" w:hAnsi="Arial" w:eastAsia="黑体" w:cs="黑体"/>
      <w:snapToGrid w:val="0"/>
      <w:color w:val="000000"/>
      <w:sz w:val="28"/>
    </w:rPr>
  </w:style>
  <w:style w:type="paragraph" w:customStyle="1" w:styleId="24">
    <w:name w:val="大节标题"/>
    <w:basedOn w:val="3"/>
    <w:qFormat/>
    <w:uiPriority w:val="0"/>
    <w:pPr>
      <w:keepNext/>
      <w:numPr>
        <w:ilvl w:val="1"/>
        <w:numId w:val="1"/>
      </w:numPr>
      <w:overflowPunct w:val="0"/>
      <w:autoSpaceDE w:val="0"/>
      <w:autoSpaceDN w:val="0"/>
      <w:spacing w:before="0" w:beforeAutospacing="0" w:after="0" w:afterAutospacing="0" w:line="360" w:lineRule="auto"/>
      <w:jc w:val="both"/>
    </w:pPr>
    <w:rPr>
      <w:rFonts w:ascii="Times New Roman" w:hAnsi="Times New Roman" w:eastAsia="仿宋" w:cs="Times New Roman"/>
      <w:bCs w:val="0"/>
      <w:kern w:val="2"/>
      <w:sz w:val="28"/>
      <w:szCs w:val="22"/>
    </w:rPr>
  </w:style>
  <w:style w:type="character" w:customStyle="1" w:styleId="25">
    <w:name w:val="样式1 Char"/>
    <w:basedOn w:val="13"/>
    <w:link w:val="26"/>
    <w:qFormat/>
    <w:locked/>
    <w:uiPriority w:val="0"/>
    <w:rPr>
      <w:sz w:val="24"/>
      <w:szCs w:val="24"/>
    </w:rPr>
  </w:style>
  <w:style w:type="paragraph" w:customStyle="1" w:styleId="26">
    <w:name w:val="样式1"/>
    <w:basedOn w:val="17"/>
    <w:link w:val="25"/>
    <w:qFormat/>
    <w:uiPriority w:val="0"/>
    <w:pPr>
      <w:numPr>
        <w:ilvl w:val="0"/>
        <w:numId w:val="2"/>
      </w:numPr>
      <w:spacing w:line="360" w:lineRule="auto"/>
      <w:ind w:firstLine="0" w:firstLineChars="0"/>
    </w:pPr>
    <w:rPr>
      <w:kern w:val="0"/>
      <w:sz w:val="24"/>
      <w:szCs w:val="24"/>
    </w:rPr>
  </w:style>
  <w:style w:type="table" w:customStyle="1" w:styleId="27">
    <w:name w:val="清单表 6 彩色1"/>
    <w:basedOn w:val="10"/>
    <w:qFormat/>
    <w:uiPriority w:val="51"/>
    <w:rPr>
      <w:color w:val="000000"/>
    </w:rPr>
    <w:tblPr>
      <w:tblBorders>
        <w:top w:val="single" w:color="000000" w:sz="4" w:space="0"/>
        <w:bottom w:val="single" w:color="000000" w:sz="4" w:space="0"/>
      </w:tblBorders>
    </w:tblPr>
    <w:tblStylePr w:type="firstRow">
      <w:rPr>
        <w:b/>
        <w:bCs/>
      </w:rPr>
      <w:tcPr>
        <w:tcBorders>
          <w:bottom w:val="single" w:color="000000" w:sz="4" w:space="0"/>
        </w:tcBorders>
        <w:vAlign w:val="top"/>
      </w:tcPr>
    </w:tblStylePr>
    <w:tblStylePr w:type="lastRow">
      <w:rPr>
        <w:b/>
        <w:bCs/>
      </w:rPr>
      <w:tcPr>
        <w:tcBorders>
          <w:top w:val="double" w:color="000000" w:sz="4" w:space="0"/>
        </w:tcBorders>
        <w:vAlign w:val="top"/>
      </w:tcPr>
    </w:tblStylePr>
    <w:tblStylePr w:type="firstCol">
      <w:rPr>
        <w:b/>
        <w:bCs/>
      </w:rPr>
    </w:tblStylePr>
    <w:tblStylePr w:type="lastCol">
      <w:rPr>
        <w:b/>
        <w:bCs/>
      </w:rPr>
    </w:tblStylePr>
    <w:tblStylePr w:type="band1Vert">
      <w:tcPr>
        <w:shd w:val="clear" w:color="auto" w:fill="CCCCCC"/>
        <w:vAlign w:val="top"/>
      </w:tcPr>
    </w:tblStylePr>
  </w:style>
  <w:style w:type="table" w:customStyle="1" w:styleId="28">
    <w:name w:val="浅色列表1"/>
    <w:basedOn w:val="10"/>
    <w:qFormat/>
    <w:uiPriority w:val="61"/>
    <w:tblPr>
      <w:tblBorders>
        <w:top w:val="single" w:color="000000" w:themeColor="text1" w:sz="8" w:space="0"/>
        <w:left w:val="single" w:color="000000" w:themeColor="text1" w:sz="8" w:space="0"/>
        <w:bottom w:val="single" w:color="000000" w:themeColor="text1" w:sz="8" w:space="0"/>
        <w:right w:val="single" w:color="000000" w:themeColor="text1" w:sz="8" w:space="0"/>
      </w:tblBorders>
    </w:tblPr>
    <w:tblStylePr w:type="firstRow">
      <w:pPr>
        <w:spacing w:before="0" w:after="0" w:line="240" w:lineRule="auto"/>
      </w:pPr>
      <w:rPr>
        <w:b/>
        <w:bCs/>
        <w:color w:val="FFFFFF" w:themeColor="background1"/>
      </w:rPr>
      <w:tcPr>
        <w:shd w:val="clear" w:color="auto" w:fill="000000" w:themeFill="text1"/>
      </w:tcPr>
    </w:tblStylePr>
    <w:tblStylePr w:type="lastRow">
      <w:pPr>
        <w:spacing w:before="0" w:after="0" w:line="240" w:lineRule="auto"/>
      </w:pPr>
      <w:rPr>
        <w:b/>
        <w:bCs/>
      </w:r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customStyle="1" w:styleId="29">
    <w:name w:val="浅色底纹 - 强调文字颜色 11"/>
    <w:basedOn w:val="10"/>
    <w:qFormat/>
    <w:uiPriority w:val="60"/>
    <w:rPr>
      <w:color w:val="366091" w:themeColor="accent1" w:themeShade="BF"/>
    </w:rPr>
    <w:tblPr>
      <w:tblBorders>
        <w:top w:val="single" w:color="4F81BD" w:themeColor="accent1" w:sz="8" w:space="0"/>
        <w:bottom w:val="single" w:color="4F81BD" w:themeColor="accent1" w:sz="8" w:space="0"/>
      </w:tblBorders>
    </w:tblPr>
    <w:tblStylePr w:type="fir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D3DFEE" w:themeFill="accent1" w:themeFillTint="3F"/>
      </w:tcPr>
    </w:tblStylePr>
    <w:tblStylePr w:type="band1Horz">
      <w:tcPr>
        <w:tcBorders>
          <w:left w:val="nil"/>
          <w:right w:val="nil"/>
          <w:insideH w:val="nil"/>
          <w:insideV w:val="nil"/>
        </w:tcBorders>
        <w:shd w:val="clear" w:color="auto" w:fill="D3DFEE" w:themeFill="accent1" w:themeFillTint="3F"/>
      </w:tcPr>
    </w:tblStylePr>
  </w:style>
  <w:style w:type="table" w:customStyle="1" w:styleId="30">
    <w:name w:val="浅色底纹1"/>
    <w:basedOn w:val="10"/>
    <w:qFormat/>
    <w:uiPriority w:val="60"/>
    <w:rPr>
      <w:color w:val="000000" w:themeColor="text1" w:themeShade="BF"/>
    </w:rPr>
    <w:tblPr>
      <w:tblBorders>
        <w:top w:val="single" w:color="000000" w:themeColor="text1" w:sz="8" w:space="0"/>
        <w:bottom w:val="single" w:color="000000" w:themeColor="text1" w:sz="8" w:space="0"/>
      </w:tblBorders>
    </w:tblPr>
    <w:tblStylePr w:type="fir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cPr>
        <w:tcBorders>
          <w:left w:val="nil"/>
          <w:right w:val="nil"/>
          <w:insideH w:val="nil"/>
          <w:insideV w:val="nil"/>
        </w:tcBorders>
        <w:shd w:val="clear" w:color="auto" w:fill="BFBFBF" w:themeFill="text1" w:themeFillTint="3F"/>
      </w:tcPr>
    </w:tblStylePr>
    <w:tblStylePr w:type="band1Horz">
      <w:tcPr>
        <w:tcBorders>
          <w:left w:val="nil"/>
          <w:right w:val="nil"/>
          <w:insideH w:val="nil"/>
          <w:insideV w:val="nil"/>
        </w:tcBorders>
        <w:shd w:val="clear" w:color="auto" w:fill="BFBFBF" w:themeFill="text1" w:themeFillTint="3F"/>
      </w:tcPr>
    </w:tblStylePr>
  </w:style>
  <w:style w:type="character" w:customStyle="1" w:styleId="31">
    <w:name w:val="fontstyle01"/>
    <w:basedOn w:val="13"/>
    <w:qFormat/>
    <w:uiPriority w:val="0"/>
    <w:rPr>
      <w:rFonts w:hint="eastAsia" w:ascii="宋体" w:hAnsi="宋体" w:eastAsia="宋体"/>
      <w:color w:val="000000"/>
      <w:sz w:val="24"/>
      <w:szCs w:val="24"/>
    </w:rPr>
  </w:style>
  <w:style w:type="character" w:customStyle="1" w:styleId="32">
    <w:name w:val="段 Char"/>
    <w:link w:val="33"/>
    <w:qFormat/>
    <w:uiPriority w:val="0"/>
    <w:rPr>
      <w:rFonts w:ascii="宋体"/>
    </w:rPr>
  </w:style>
  <w:style w:type="paragraph" w:customStyle="1" w:styleId="33">
    <w:name w:val="段"/>
    <w:link w:val="32"/>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lang w:val="en-US" w:eastAsia="zh-CN" w:bidi="ar-SA"/>
    </w:rPr>
  </w:style>
  <w:style w:type="character" w:customStyle="1" w:styleId="34">
    <w:name w:val="批注文字 字符"/>
    <w:basedOn w:val="13"/>
    <w:link w:val="4"/>
    <w:semiHidden/>
    <w:qFormat/>
    <w:uiPriority w:val="99"/>
    <w:rPr>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135"/>
    <customShpInfo spid="_x0000_s2136"/>
    <customShpInfo spid="_x0000_s2138"/>
    <customShpInfo spid="_x0000_s213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9</Pages>
  <Words>2173</Words>
  <Characters>2789</Characters>
  <Lines>39</Lines>
  <Paragraphs>11</Paragraphs>
  <TotalTime>4</TotalTime>
  <ScaleCrop>false</ScaleCrop>
  <LinksUpToDate>false</LinksUpToDate>
  <CharactersWithSpaces>2874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2024-08-06T05:44:00Z</dcterms:created>
  <dc:creator>Administrator</dc:creator>
  <cp:lastModifiedBy>Administrator</cp:lastModifiedBy>
  <cp:lastPrinted>2024-08-12T07:05:00Z</cp:lastPrinted>
  <dcterms:modified xsi:type="dcterms:W3CDTF">2024-11-05T01:42:11Z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66077C755717409ABCFEF75F077098BA_12</vt:lpwstr>
  </property>
</Properties>
</file>